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60"/>
        <w:gridCol w:w="708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Красильникова Яна Юрьевна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24.08.1985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Высшее,</w:t>
            </w:r>
            <w:r w:rsidRPr="005203C4">
              <w:t xml:space="preserve"> </w:t>
            </w:r>
            <w:r w:rsidRPr="005203C4">
              <w:rPr>
                <w:sz w:val="24"/>
                <w:szCs w:val="22"/>
              </w:rPr>
              <w:t xml:space="preserve">специальность «иностранный язык»  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+7 913 300-30-45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yanchik240885@mail.ru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Муниципальное автономное общеобразовательное учреждение муниципального образования город Краснодар средняя общеобразовательная школа № 102 имени Героя Советского Союза Георгия Бочарникова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</w:rPr>
              <w:t>350901, г. Краснодар, ул. им. Героя Георгия Бочарникова, д.7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</w:rPr>
              <w:t>Учитель английского языка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квалификационная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12 лет, высшая категория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Default="00470C19" w:rsidP="00815876">
            <w:pPr>
              <w:rPr>
                <w:sz w:val="24"/>
                <w:szCs w:val="22"/>
              </w:rPr>
            </w:pPr>
            <w:hyperlink r:id="rId8" w:history="1">
              <w:r w:rsidRPr="00285A39">
                <w:rPr>
                  <w:rStyle w:val="ab"/>
                  <w:sz w:val="24"/>
                  <w:szCs w:val="22"/>
                </w:rPr>
                <w:t>https://infourok.ru/urok-anglijskogo-yazyka-dlya-5-klassa-po-teme-glagol-can-v-past-simple-6258942.html</w:t>
              </w:r>
            </w:hyperlink>
          </w:p>
          <w:p w:rsidR="00470C19" w:rsidRPr="00470C19" w:rsidRDefault="00470C19" w:rsidP="00815876">
            <w:pPr>
              <w:rPr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6B3AAF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6B3AAF" w:rsidRPr="00815876" w:rsidRDefault="006B3AAF" w:rsidP="006B3AAF">
            <w:pPr>
              <w:rPr>
                <w:i/>
                <w:sz w:val="24"/>
                <w:szCs w:val="22"/>
              </w:rPr>
            </w:pP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5203C4" w:rsidRPr="008C0ACA" w:rsidRDefault="005203C4" w:rsidP="005203C4">
            <w:pPr>
              <w:rPr>
                <w:sz w:val="24"/>
                <w:szCs w:val="24"/>
              </w:rPr>
            </w:pPr>
            <w:bookmarkStart w:id="1" w:name="_Hlk112100646"/>
            <w:r w:rsidRPr="008C0ACA">
              <w:rPr>
                <w:sz w:val="24"/>
                <w:szCs w:val="24"/>
              </w:rPr>
              <w:t xml:space="preserve">«Урок английского языка для 5 класса «Глагол CAN в </w:t>
            </w:r>
            <w:proofErr w:type="spellStart"/>
            <w:r w:rsidRPr="008C0ACA">
              <w:rPr>
                <w:sz w:val="24"/>
                <w:szCs w:val="24"/>
              </w:rPr>
              <w:t>Past</w:t>
            </w:r>
            <w:proofErr w:type="spellEnd"/>
            <w:r w:rsidRPr="008C0ACA">
              <w:rPr>
                <w:sz w:val="24"/>
                <w:szCs w:val="24"/>
              </w:rPr>
              <w:t xml:space="preserve"> </w:t>
            </w:r>
            <w:proofErr w:type="spellStart"/>
            <w:r w:rsidRPr="008C0ACA">
              <w:rPr>
                <w:sz w:val="24"/>
                <w:szCs w:val="24"/>
              </w:rPr>
              <w:t>Simple</w:t>
            </w:r>
            <w:proofErr w:type="spellEnd"/>
            <w:r w:rsidRPr="008C0ACA">
              <w:rPr>
                <w:sz w:val="24"/>
                <w:szCs w:val="24"/>
              </w:rPr>
              <w:t>»</w:t>
            </w:r>
          </w:p>
          <w:bookmarkEnd w:id="1"/>
          <w:p w:rsidR="00815876" w:rsidRPr="008C0ACA" w:rsidRDefault="00815876" w:rsidP="00815876">
            <w:pPr>
              <w:rPr>
                <w:i/>
                <w:sz w:val="24"/>
                <w:szCs w:val="24"/>
              </w:rPr>
            </w:pP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815876" w:rsidRPr="008C0ACA" w:rsidRDefault="008C0ACA" w:rsidP="00815876">
            <w:pPr>
              <w:rPr>
                <w:sz w:val="24"/>
                <w:szCs w:val="24"/>
              </w:rPr>
            </w:pPr>
            <w:r w:rsidRPr="008C0ACA">
              <w:rPr>
                <w:sz w:val="24"/>
                <w:szCs w:val="24"/>
              </w:rPr>
              <w:t>Иностранный язык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образовательных, информационно-коммуникационных или других технологий, в изменении содержания образования, организации учебного или воспи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8C0ACA" w:rsidRPr="008C0ACA" w:rsidRDefault="008C0ACA" w:rsidP="008C0ACA">
            <w:pPr>
              <w:jc w:val="both"/>
              <w:rPr>
                <w:sz w:val="24"/>
                <w:szCs w:val="24"/>
              </w:rPr>
            </w:pPr>
            <w:r w:rsidRPr="008C0ACA">
              <w:rPr>
                <w:sz w:val="24"/>
                <w:szCs w:val="24"/>
              </w:rPr>
              <w:t>В основе опыта лежит проблема качественного усвоения учащимися</w:t>
            </w:r>
            <w:r>
              <w:rPr>
                <w:sz w:val="24"/>
                <w:szCs w:val="24"/>
              </w:rPr>
              <w:t xml:space="preserve"> </w:t>
            </w:r>
            <w:r w:rsidRPr="008C0ACA">
              <w:rPr>
                <w:sz w:val="24"/>
                <w:szCs w:val="24"/>
              </w:rPr>
              <w:t>5 класса нового материала по теме «</w:t>
            </w:r>
            <w:r w:rsidRPr="008C0ACA">
              <w:rPr>
                <w:spacing w:val="-1"/>
                <w:sz w:val="24"/>
                <w:szCs w:val="24"/>
              </w:rPr>
              <w:t xml:space="preserve">Глагол CAN в </w:t>
            </w:r>
            <w:proofErr w:type="spellStart"/>
            <w:r w:rsidRPr="008C0ACA">
              <w:rPr>
                <w:spacing w:val="-1"/>
                <w:sz w:val="24"/>
                <w:szCs w:val="24"/>
              </w:rPr>
              <w:t>Past</w:t>
            </w:r>
            <w:proofErr w:type="spellEnd"/>
            <w:r w:rsidRPr="008C0AC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0ACA">
              <w:rPr>
                <w:spacing w:val="-1"/>
                <w:sz w:val="24"/>
                <w:szCs w:val="24"/>
              </w:rPr>
              <w:t>Simple</w:t>
            </w:r>
            <w:proofErr w:type="spellEnd"/>
            <w:r w:rsidRPr="008C0ACA">
              <w:rPr>
                <w:sz w:val="24"/>
                <w:szCs w:val="24"/>
              </w:rPr>
              <w:t xml:space="preserve">». Для решения данной проблемы на уроке используются современные образовательные технологии: ИКТ, игровые, </w:t>
            </w:r>
            <w:proofErr w:type="spellStart"/>
            <w:r w:rsidRPr="008C0ACA">
              <w:rPr>
                <w:sz w:val="24"/>
                <w:szCs w:val="24"/>
              </w:rPr>
              <w:t>здоровьесберегающие</w:t>
            </w:r>
            <w:proofErr w:type="spellEnd"/>
            <w:r w:rsidRPr="008C0ACA">
              <w:rPr>
                <w:sz w:val="24"/>
                <w:szCs w:val="24"/>
              </w:rPr>
              <w:t>, групповые, деятельностный подход, коммуникативное обучение иноязычной культуре.</w:t>
            </w:r>
          </w:p>
          <w:p w:rsidR="00891D47" w:rsidRPr="008C0ACA" w:rsidRDefault="00891D47" w:rsidP="00B052AF">
            <w:pPr>
              <w:rPr>
                <w:sz w:val="24"/>
                <w:szCs w:val="24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изменений (способы, их преимущества перед аналогами и новизна, ограничения, трудо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891D47" w:rsidRPr="002706F4" w:rsidRDefault="002706F4" w:rsidP="008C0ACA">
            <w:pPr>
              <w:jc w:val="both"/>
              <w:rPr>
                <w:i/>
                <w:sz w:val="24"/>
                <w:szCs w:val="24"/>
              </w:rPr>
            </w:pPr>
            <w:r w:rsidRPr="002706F4">
              <w:rPr>
                <w:sz w:val="24"/>
                <w:szCs w:val="24"/>
              </w:rPr>
              <w:t xml:space="preserve">Концепция опыта: </w:t>
            </w:r>
            <w:r w:rsidRPr="002706F4">
              <w:rPr>
                <w:sz w:val="24"/>
                <w:szCs w:val="24"/>
              </w:rPr>
              <w:t xml:space="preserve">развитие иноязычной коммуникативной компетенции (речевой, социокультурной, компенсаторной, учебно-познавательной) на основе изученных лексических единиц и темы "Глагол CAN в </w:t>
            </w:r>
            <w:proofErr w:type="spellStart"/>
            <w:r w:rsidRPr="002706F4">
              <w:rPr>
                <w:sz w:val="24"/>
                <w:szCs w:val="24"/>
              </w:rPr>
              <w:t>Past</w:t>
            </w:r>
            <w:proofErr w:type="spellEnd"/>
            <w:r w:rsidRPr="002706F4">
              <w:rPr>
                <w:sz w:val="24"/>
                <w:szCs w:val="24"/>
              </w:rPr>
              <w:t xml:space="preserve"> </w:t>
            </w:r>
            <w:proofErr w:type="spellStart"/>
            <w:r w:rsidRPr="002706F4">
              <w:rPr>
                <w:sz w:val="24"/>
                <w:szCs w:val="24"/>
              </w:rPr>
              <w:t>Simple</w:t>
            </w:r>
            <w:proofErr w:type="spellEnd"/>
            <w:r w:rsidRPr="002706F4">
              <w:rPr>
                <w:sz w:val="24"/>
                <w:szCs w:val="24"/>
              </w:rPr>
              <w:t>."</w:t>
            </w:r>
            <w:r w:rsidRPr="002706F4">
              <w:rPr>
                <w:sz w:val="24"/>
                <w:szCs w:val="24"/>
                <w:u w:val="single"/>
              </w:rPr>
              <w:t xml:space="preserve"> </w:t>
            </w:r>
            <w:r w:rsidRPr="002706F4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891D47" w:rsidRPr="008C0ACA" w:rsidRDefault="008C0ACA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результате применения данного опыта повысилось качество з</w:t>
            </w:r>
            <w:r w:rsidR="002706F4">
              <w:rPr>
                <w:sz w:val="24"/>
                <w:szCs w:val="22"/>
              </w:rPr>
              <w:t>н</w:t>
            </w:r>
            <w:r>
              <w:rPr>
                <w:sz w:val="24"/>
                <w:szCs w:val="22"/>
              </w:rPr>
              <w:t>аний учащихся по данной теме, повысилась мотивация учащихся к изучению английского языка.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>Участие автора 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lastRenderedPageBreak/>
              <w:t>профессиональных конкурсах</w:t>
            </w:r>
          </w:p>
        </w:tc>
        <w:tc>
          <w:tcPr>
            <w:tcW w:w="3750" w:type="pct"/>
          </w:tcPr>
          <w:p w:rsidR="00815876" w:rsidRPr="008C0ACA" w:rsidRDefault="008C0ACA" w:rsidP="00690FB5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Участие в научно-практической конференции </w:t>
            </w:r>
            <w:r w:rsidR="00690FB5">
              <w:rPr>
                <w:sz w:val="24"/>
                <w:szCs w:val="22"/>
              </w:rPr>
              <w:t xml:space="preserve">АНПОО «Кубанский институт профессионального образования» по теме: «Инновационные технологии в обучении» 13.04.2022 (Справка АНПОО «Кубанский ИПО» от 11.05.2022 № 01-07/400, подписанная руководителем учебно-методического центра ДПО Л.А. Матвеевой)  </w:t>
            </w: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891D47" w:rsidRPr="00815876" w:rsidRDefault="00891D47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891D47" w:rsidRPr="002706F4" w:rsidRDefault="002706F4" w:rsidP="0081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06F4">
              <w:rPr>
                <w:sz w:val="24"/>
                <w:szCs w:val="24"/>
              </w:rPr>
              <w:t xml:space="preserve">Данный инновационный опыт представляет собой технологическую карту урока английского языка по теме </w:t>
            </w:r>
            <w:r w:rsidRPr="002706F4">
              <w:rPr>
                <w:sz w:val="24"/>
                <w:szCs w:val="24"/>
              </w:rPr>
              <w:t xml:space="preserve">«Глагол CAN в </w:t>
            </w:r>
            <w:proofErr w:type="spellStart"/>
            <w:r w:rsidRPr="002706F4">
              <w:rPr>
                <w:sz w:val="24"/>
                <w:szCs w:val="24"/>
              </w:rPr>
              <w:t>Past</w:t>
            </w:r>
            <w:proofErr w:type="spellEnd"/>
            <w:r w:rsidRPr="002706F4">
              <w:rPr>
                <w:sz w:val="24"/>
                <w:szCs w:val="24"/>
              </w:rPr>
              <w:t xml:space="preserve"> </w:t>
            </w:r>
            <w:proofErr w:type="spellStart"/>
            <w:r w:rsidRPr="002706F4">
              <w:rPr>
                <w:sz w:val="24"/>
                <w:szCs w:val="24"/>
              </w:rPr>
              <w:t>Simple</w:t>
            </w:r>
            <w:proofErr w:type="spellEnd"/>
            <w:r w:rsidRPr="002706F4">
              <w:rPr>
                <w:sz w:val="24"/>
                <w:szCs w:val="24"/>
              </w:rPr>
              <w:t>»</w:t>
            </w:r>
            <w:r w:rsidRPr="002706F4">
              <w:rPr>
                <w:sz w:val="24"/>
                <w:szCs w:val="24"/>
              </w:rPr>
              <w:t>.</w:t>
            </w:r>
          </w:p>
          <w:p w:rsidR="002706F4" w:rsidRPr="002706F4" w:rsidRDefault="002706F4" w:rsidP="002706F4">
            <w:pPr>
              <w:ind w:firstLine="709"/>
              <w:jc w:val="both"/>
              <w:rPr>
                <w:sz w:val="24"/>
                <w:szCs w:val="24"/>
              </w:rPr>
            </w:pPr>
            <w:r w:rsidRPr="002706F4">
              <w:rPr>
                <w:sz w:val="24"/>
                <w:szCs w:val="24"/>
              </w:rPr>
              <w:t xml:space="preserve">Структура урока выстроена в соответствии с требованиями ФГОС, на каждом этапе урока решаются определенные задачи.  В целом данный урок направлен на решение таких задач, как формирование первичных умений употребления модального глагола CAN в </w:t>
            </w:r>
            <w:proofErr w:type="spellStart"/>
            <w:r w:rsidRPr="002706F4">
              <w:rPr>
                <w:sz w:val="24"/>
                <w:szCs w:val="24"/>
              </w:rPr>
              <w:t>Past</w:t>
            </w:r>
            <w:proofErr w:type="spellEnd"/>
            <w:r w:rsidRPr="002706F4">
              <w:rPr>
                <w:sz w:val="24"/>
                <w:szCs w:val="24"/>
              </w:rPr>
              <w:t xml:space="preserve"> </w:t>
            </w:r>
            <w:proofErr w:type="spellStart"/>
            <w:r w:rsidRPr="002706F4">
              <w:rPr>
                <w:sz w:val="24"/>
                <w:szCs w:val="24"/>
              </w:rPr>
              <w:t>Simple</w:t>
            </w:r>
            <w:proofErr w:type="spellEnd"/>
            <w:r w:rsidRPr="002706F4">
              <w:rPr>
                <w:sz w:val="24"/>
                <w:szCs w:val="24"/>
              </w:rPr>
              <w:t xml:space="preserve">, закрепление умений употребления модального глагола </w:t>
            </w:r>
            <w:proofErr w:type="spellStart"/>
            <w:r w:rsidRPr="002706F4">
              <w:rPr>
                <w:sz w:val="24"/>
                <w:szCs w:val="24"/>
              </w:rPr>
              <w:t>can</w:t>
            </w:r>
            <w:proofErr w:type="spellEnd"/>
            <w:r w:rsidRPr="002706F4">
              <w:rPr>
                <w:sz w:val="24"/>
                <w:szCs w:val="24"/>
              </w:rPr>
              <w:t>, воспитание интереса к предмету, формирование положительного эмоционального отношения к процессу познания, развитие речи, навыков поведения, воображения и творческого потенциала ребенка, умения слушать и оценивать ответы товарищей, умения применять полученные знания .</w:t>
            </w:r>
          </w:p>
          <w:p w:rsidR="002706F4" w:rsidRPr="002706F4" w:rsidRDefault="002706F4" w:rsidP="00270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06F4">
              <w:rPr>
                <w:sz w:val="24"/>
                <w:szCs w:val="24"/>
              </w:rPr>
              <w:t xml:space="preserve">На уроке органично сочетаются фронтальные, групповые и индивидуальные формы работы, которые способствуют формированию готовности к иноязычному общению, слушать и понимать других, строить высказывания в соответствии с коммуникативными задачами (с опорами и без использования опор), высказывать свою точку зрения, оформлять свои мысли в устной и письменной речи; читать вслух и про себя текст учебника, понимать прочитанное, сотрудничать в совместном решении проблемы. </w:t>
            </w:r>
          </w:p>
          <w:p w:rsidR="002706F4" w:rsidRPr="002706F4" w:rsidRDefault="002706F4" w:rsidP="002706F4">
            <w:pPr>
              <w:ind w:firstLine="709"/>
              <w:jc w:val="both"/>
              <w:rPr>
                <w:sz w:val="24"/>
                <w:szCs w:val="24"/>
              </w:rPr>
            </w:pPr>
            <w:r w:rsidRPr="002706F4">
              <w:rPr>
                <w:sz w:val="24"/>
                <w:szCs w:val="24"/>
              </w:rPr>
              <w:t xml:space="preserve">Презентация к уроку, разработанная учителем, выполняет не только информационную роль и роль наглядного пособия, но и помогает учителю организовать работу учащихся на разных этапах урока.  </w:t>
            </w:r>
          </w:p>
          <w:p w:rsidR="002706F4" w:rsidRPr="002706F4" w:rsidRDefault="002706F4" w:rsidP="002706F4">
            <w:pPr>
              <w:ind w:firstLine="709"/>
              <w:jc w:val="both"/>
              <w:rPr>
                <w:sz w:val="24"/>
                <w:szCs w:val="24"/>
              </w:rPr>
            </w:pPr>
            <w:r w:rsidRPr="002706F4">
              <w:rPr>
                <w:sz w:val="24"/>
                <w:szCs w:val="24"/>
              </w:rPr>
              <w:t xml:space="preserve">Следует отметить </w:t>
            </w:r>
            <w:proofErr w:type="spellStart"/>
            <w:r w:rsidRPr="002706F4">
              <w:rPr>
                <w:sz w:val="24"/>
                <w:szCs w:val="24"/>
              </w:rPr>
              <w:t>здоровьесберегающую</w:t>
            </w:r>
            <w:proofErr w:type="spellEnd"/>
            <w:r w:rsidRPr="002706F4">
              <w:rPr>
                <w:sz w:val="24"/>
                <w:szCs w:val="24"/>
              </w:rPr>
              <w:t xml:space="preserve"> направленность урока, что выражено в смене видов деятельности и проведении </w:t>
            </w:r>
            <w:proofErr w:type="spellStart"/>
            <w:r w:rsidRPr="002706F4">
              <w:rPr>
                <w:sz w:val="24"/>
                <w:szCs w:val="24"/>
              </w:rPr>
              <w:t>физминутки</w:t>
            </w:r>
            <w:proofErr w:type="spellEnd"/>
            <w:r w:rsidRPr="002706F4">
              <w:rPr>
                <w:sz w:val="24"/>
                <w:szCs w:val="24"/>
              </w:rPr>
              <w:t>.</w:t>
            </w:r>
          </w:p>
          <w:p w:rsidR="00891D47" w:rsidRPr="002706F4" w:rsidRDefault="002706F4" w:rsidP="002706F4">
            <w:pPr>
              <w:ind w:firstLine="709"/>
              <w:jc w:val="both"/>
              <w:rPr>
                <w:sz w:val="24"/>
                <w:szCs w:val="24"/>
              </w:rPr>
            </w:pPr>
            <w:r w:rsidRPr="002706F4">
              <w:rPr>
                <w:sz w:val="24"/>
                <w:szCs w:val="24"/>
              </w:rPr>
              <w:t>Данная форма урока и используемые образовательные технологии являются эффективными с точки зрения качественного усвоения материала, развития познавательного интереса и коммуникативных навыков учащихся, формирования позитивного отношения и повышения мотивации к изучению английского языка.</w:t>
            </w: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59098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891D47" w:rsidRPr="00815876" w:rsidRDefault="00891D47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Фамилия, имя, отчество </w:t>
            </w:r>
            <w:r>
              <w:rPr>
                <w:sz w:val="24"/>
              </w:rPr>
              <w:t xml:space="preserve">независимого </w:t>
            </w:r>
            <w:r w:rsidRPr="00815876">
              <w:rPr>
                <w:sz w:val="24"/>
              </w:rPr>
              <w:t xml:space="preserve">эксперта, </w:t>
            </w:r>
          </w:p>
          <w:p w:rsidR="00891D47" w:rsidRPr="00815876" w:rsidRDefault="00891D47" w:rsidP="00891D47">
            <w:pPr>
              <w:rPr>
                <w:sz w:val="24"/>
              </w:rPr>
            </w:pPr>
            <w:r w:rsidRPr="00815876">
              <w:rPr>
                <w:sz w:val="24"/>
              </w:rPr>
              <w:t>его контактные телефоны, адрес электронной почты, наименование и почтовый адрес организации</w:t>
            </w:r>
          </w:p>
        </w:tc>
        <w:tc>
          <w:tcPr>
            <w:tcW w:w="3750" w:type="pct"/>
          </w:tcPr>
          <w:p w:rsidR="00690FB5" w:rsidRPr="00690FB5" w:rsidRDefault="00690FB5" w:rsidP="00690FB5">
            <w:pPr>
              <w:ind w:hanging="19"/>
              <w:jc w:val="both"/>
              <w:rPr>
                <w:sz w:val="24"/>
                <w:szCs w:val="24"/>
              </w:rPr>
            </w:pPr>
            <w:r w:rsidRPr="00690FB5">
              <w:rPr>
                <w:sz w:val="24"/>
                <w:szCs w:val="24"/>
              </w:rPr>
              <w:t>Красильникова Яна Юрьевна представила опыт по теме «</w:t>
            </w:r>
            <w:r w:rsidRPr="00690FB5">
              <w:rPr>
                <w:spacing w:val="-1"/>
                <w:sz w:val="24"/>
                <w:szCs w:val="24"/>
              </w:rPr>
              <w:t xml:space="preserve">Урок английского языка для 5 класса «Глагол CAN в </w:t>
            </w:r>
            <w:proofErr w:type="spellStart"/>
            <w:r w:rsidRPr="00690FB5">
              <w:rPr>
                <w:spacing w:val="-1"/>
                <w:sz w:val="24"/>
                <w:szCs w:val="24"/>
              </w:rPr>
              <w:t>Past</w:t>
            </w:r>
            <w:proofErr w:type="spellEnd"/>
            <w:r w:rsidRPr="00690FB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0FB5">
              <w:rPr>
                <w:spacing w:val="-1"/>
                <w:sz w:val="24"/>
                <w:szCs w:val="24"/>
              </w:rPr>
              <w:t>Simple</w:t>
            </w:r>
            <w:proofErr w:type="spellEnd"/>
            <w:r w:rsidRPr="00690FB5">
              <w:rPr>
                <w:sz w:val="24"/>
                <w:szCs w:val="24"/>
              </w:rPr>
              <w:t xml:space="preserve">». </w:t>
            </w:r>
          </w:p>
          <w:p w:rsidR="00690FB5" w:rsidRPr="00690FB5" w:rsidRDefault="00690FB5" w:rsidP="00690FB5">
            <w:pPr>
              <w:jc w:val="both"/>
              <w:rPr>
                <w:sz w:val="24"/>
                <w:szCs w:val="24"/>
              </w:rPr>
            </w:pPr>
            <w:r w:rsidRPr="00690FB5">
              <w:rPr>
                <w:sz w:val="24"/>
                <w:szCs w:val="24"/>
              </w:rPr>
              <w:t xml:space="preserve">В основе опыта лежит проблема качественного усвоения учащимися данной темы, развития познавательного интереса. Решение данных проблем автор опыта видит в сочетании традиционных форм и методов преподавания с использованием современных образовательных технологий.  </w:t>
            </w:r>
          </w:p>
          <w:p w:rsidR="00690FB5" w:rsidRPr="00690FB5" w:rsidRDefault="00690FB5" w:rsidP="00690FB5">
            <w:pPr>
              <w:jc w:val="both"/>
              <w:rPr>
                <w:sz w:val="24"/>
                <w:szCs w:val="24"/>
              </w:rPr>
            </w:pPr>
            <w:r w:rsidRPr="00690FB5">
              <w:rPr>
                <w:sz w:val="24"/>
                <w:szCs w:val="24"/>
              </w:rPr>
              <w:t xml:space="preserve">В данной работе автор проявила умение выстраивать логичную структуру урока, которая позволяет усваивать теоретический материал и закреплять на практике полученные знания. На уроке используются ИКТ, игровые технологии, </w:t>
            </w:r>
            <w:proofErr w:type="spellStart"/>
            <w:r w:rsidRPr="00690FB5">
              <w:rPr>
                <w:sz w:val="24"/>
                <w:szCs w:val="24"/>
              </w:rPr>
              <w:t>здоровьесберегающие</w:t>
            </w:r>
            <w:proofErr w:type="spellEnd"/>
            <w:r w:rsidRPr="00690FB5">
              <w:rPr>
                <w:sz w:val="24"/>
                <w:szCs w:val="24"/>
              </w:rPr>
              <w:t xml:space="preserve">, деятельностный подход, коммуникативное обучение иноязычной культуре. Задания сформулированы таким образом, что учащиеся вынуждены проявлять не только свои знания, но и творческие качества, умение взаимодействовать в процессе коммуникации.  </w:t>
            </w:r>
          </w:p>
          <w:p w:rsidR="00690FB5" w:rsidRPr="00690FB5" w:rsidRDefault="00690FB5" w:rsidP="00690FB5">
            <w:pPr>
              <w:ind w:hanging="19"/>
              <w:jc w:val="both"/>
              <w:rPr>
                <w:sz w:val="24"/>
                <w:szCs w:val="24"/>
              </w:rPr>
            </w:pPr>
            <w:r w:rsidRPr="00690FB5">
              <w:rPr>
                <w:sz w:val="24"/>
                <w:szCs w:val="24"/>
              </w:rPr>
              <w:t xml:space="preserve">Разработка урока представлена в виде технологической карты, структура которой полностью соответствует требованиям федерального государственного образовательного стандарта.  </w:t>
            </w:r>
          </w:p>
          <w:p w:rsidR="00891D47" w:rsidRPr="00690FB5" w:rsidRDefault="00690FB5" w:rsidP="00690FB5">
            <w:pPr>
              <w:jc w:val="both"/>
              <w:rPr>
                <w:rFonts w:cs="Courier New"/>
                <w:sz w:val="24"/>
                <w:szCs w:val="24"/>
              </w:rPr>
            </w:pPr>
            <w:r w:rsidRPr="00690FB5">
              <w:rPr>
                <w:sz w:val="24"/>
                <w:szCs w:val="24"/>
              </w:rPr>
              <w:t xml:space="preserve">Практическое использование данной разработки показало, что структура урока и все выполняемые на уроке задания целенаправленны, органично связаны между собой и выполнимы в рамках отведенного учебного времени.  </w:t>
            </w: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9"/>
      <w:footerReference w:type="even" r:id="rId10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9A1" w:rsidRDefault="001319A1">
      <w:r>
        <w:separator/>
      </w:r>
    </w:p>
  </w:endnote>
  <w:endnote w:type="continuationSeparator" w:id="0">
    <w:p w:rsidR="001319A1" w:rsidRDefault="0013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9A1" w:rsidRDefault="001319A1">
      <w:r>
        <w:separator/>
      </w:r>
    </w:p>
  </w:footnote>
  <w:footnote w:type="continuationSeparator" w:id="0">
    <w:p w:rsidR="001319A1" w:rsidRDefault="0013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2515AC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06F4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0C19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3C4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0FB5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A74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0ACA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11EA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1CA1F9D9"/>
  <w15:docId w15:val="{2E8E332D-FABC-494B-9A6E-8A01D8A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Unresolved Mention"/>
    <w:basedOn w:val="a0"/>
    <w:uiPriority w:val="99"/>
    <w:semiHidden/>
    <w:unhideWhenUsed/>
    <w:rsid w:val="0047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anglijskogo-yazyka-dlya-5-klassa-po-teme-glagol-can-v-past-simple-62589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73B1-4DFC-4062-A7CC-92F409E5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25</TotalTime>
  <Pages>3</Pages>
  <Words>677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cp:lastPrinted>2016-02-05T14:08:00Z</cp:lastPrinted>
  <dcterms:created xsi:type="dcterms:W3CDTF">2022-10-12T19:29:00Z</dcterms:created>
  <dcterms:modified xsi:type="dcterms:W3CDTF">2022-10-12T20:01:00Z</dcterms:modified>
</cp:coreProperties>
</file>