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2B4F" w14:textId="77777777" w:rsidR="00025FD6" w:rsidRPr="00815876" w:rsidRDefault="00025FD6" w:rsidP="00025FD6">
      <w:pPr>
        <w:tabs>
          <w:tab w:val="right" w:leader="underscore" w:pos="9360"/>
        </w:tabs>
        <w:jc w:val="center"/>
        <w:rPr>
          <w:b/>
          <w:spacing w:val="20"/>
          <w:sz w:val="28"/>
          <w:szCs w:val="28"/>
        </w:rPr>
      </w:pPr>
      <w:r w:rsidRPr="001319A1">
        <w:rPr>
          <w:b/>
          <w:spacing w:val="20"/>
          <w:sz w:val="28"/>
          <w:szCs w:val="28"/>
        </w:rPr>
        <w:t>ИНФОРМАЦИОННАЯ КАРТА</w:t>
      </w:r>
    </w:p>
    <w:p w14:paraId="312A3BC2" w14:textId="77777777" w:rsidR="00025FD6" w:rsidRPr="00815876" w:rsidRDefault="00025FD6" w:rsidP="00025FD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результативного инновационного педагогического опыта</w:t>
      </w:r>
    </w:p>
    <w:p w14:paraId="3C4354F2" w14:textId="77777777" w:rsidR="00025FD6" w:rsidRPr="00815876" w:rsidRDefault="00025FD6" w:rsidP="00025FD6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2336"/>
        <w:gridCol w:w="7009"/>
      </w:tblGrid>
      <w:tr w:rsidR="00025FD6" w:rsidRPr="00815876" w14:paraId="7A2FE3C3" w14:textId="77777777" w:rsidTr="00F07F54">
        <w:tc>
          <w:tcPr>
            <w:tcW w:w="5000" w:type="pct"/>
            <w:gridSpan w:val="2"/>
            <w:shd w:val="clear" w:color="auto" w:fill="E6E6E6"/>
          </w:tcPr>
          <w:p w14:paraId="7E1EAF16" w14:textId="77777777" w:rsidR="00025FD6" w:rsidRPr="00815876" w:rsidRDefault="00025FD6" w:rsidP="00F07F54">
            <w:pPr>
              <w:jc w:val="center"/>
              <w:rPr>
                <w:rFonts w:ascii="Times New Roman Полужирный" w:hAnsi="Times New Roman Полужирный"/>
                <w:b/>
                <w:spacing w:val="20"/>
                <w:sz w:val="24"/>
                <w:szCs w:val="24"/>
              </w:rPr>
            </w:pPr>
            <w:r w:rsidRPr="00815876">
              <w:rPr>
                <w:rFonts w:ascii="Times New Roman Полужирный" w:hAnsi="Times New Roman Полужирный"/>
                <w:b/>
                <w:spacing w:val="20"/>
                <w:sz w:val="24"/>
                <w:szCs w:val="22"/>
              </w:rPr>
              <w:br w:type="page"/>
            </w:r>
            <w:r w:rsidRPr="00815876">
              <w:rPr>
                <w:rFonts w:ascii="Times New Roman Полужирный" w:hAnsi="Times New Roman Полужирный"/>
                <w:b/>
                <w:spacing w:val="20"/>
                <w:sz w:val="24"/>
                <w:szCs w:val="24"/>
              </w:rPr>
              <w:t>ИНФОРМАЦИОННАЯ КАРТА РИПО</w:t>
            </w:r>
          </w:p>
        </w:tc>
      </w:tr>
      <w:tr w:rsidR="00025FD6" w:rsidRPr="00815876" w14:paraId="6447F089" w14:textId="77777777" w:rsidTr="00F07F54">
        <w:tc>
          <w:tcPr>
            <w:tcW w:w="5000" w:type="pct"/>
            <w:gridSpan w:val="2"/>
            <w:shd w:val="clear" w:color="auto" w:fill="E6E6E6"/>
          </w:tcPr>
          <w:p w14:paraId="1A41AAF3" w14:textId="77777777" w:rsidR="00025FD6" w:rsidRPr="00815876" w:rsidRDefault="00025FD6" w:rsidP="00F07F54">
            <w:pPr>
              <w:jc w:val="center"/>
              <w:rPr>
                <w:b/>
                <w:sz w:val="24"/>
                <w:szCs w:val="22"/>
              </w:rPr>
            </w:pPr>
            <w:r w:rsidRPr="00815876">
              <w:rPr>
                <w:b/>
                <w:sz w:val="24"/>
                <w:szCs w:val="22"/>
                <w:lang w:val="en-US"/>
              </w:rPr>
              <w:t>I</w:t>
            </w:r>
            <w:r w:rsidRPr="00815876">
              <w:rPr>
                <w:b/>
                <w:sz w:val="24"/>
                <w:szCs w:val="22"/>
              </w:rPr>
              <w:t>. Общие сведения</w:t>
            </w:r>
          </w:p>
        </w:tc>
      </w:tr>
      <w:tr w:rsidR="00025FD6" w:rsidRPr="00815876" w14:paraId="4D3C8FCA" w14:textId="77777777" w:rsidTr="00F07F54">
        <w:tblPrEx>
          <w:shd w:val="clear" w:color="auto" w:fill="auto"/>
        </w:tblPrEx>
        <w:tc>
          <w:tcPr>
            <w:tcW w:w="1250" w:type="pct"/>
          </w:tcPr>
          <w:p w14:paraId="36E3A3D1" w14:textId="77777777" w:rsidR="00025FD6" w:rsidRPr="00815876" w:rsidRDefault="00025FD6" w:rsidP="00F07F54">
            <w:pPr>
              <w:rPr>
                <w:sz w:val="24"/>
              </w:rPr>
            </w:pPr>
            <w:r w:rsidRPr="00815876">
              <w:rPr>
                <w:sz w:val="24"/>
              </w:rPr>
              <w:t>Ф. И. О. автора</w:t>
            </w:r>
          </w:p>
        </w:tc>
        <w:tc>
          <w:tcPr>
            <w:tcW w:w="3750" w:type="pct"/>
          </w:tcPr>
          <w:p w14:paraId="56105FEB" w14:textId="4554EC3C" w:rsidR="00025FD6" w:rsidRPr="00815876" w:rsidRDefault="00025FD6" w:rsidP="00F07F54">
            <w:pPr>
              <w:rPr>
                <w:i/>
                <w:sz w:val="24"/>
                <w:szCs w:val="22"/>
              </w:rPr>
            </w:pPr>
            <w:r>
              <w:rPr>
                <w:i/>
                <w:sz w:val="24"/>
                <w:szCs w:val="22"/>
              </w:rPr>
              <w:t>Куницына Евгения Вячеславовна</w:t>
            </w:r>
          </w:p>
        </w:tc>
      </w:tr>
      <w:tr w:rsidR="00025FD6" w:rsidRPr="00815876" w14:paraId="1A11D4B2" w14:textId="77777777" w:rsidTr="00F07F54">
        <w:tblPrEx>
          <w:shd w:val="clear" w:color="auto" w:fill="auto"/>
        </w:tblPrEx>
        <w:tc>
          <w:tcPr>
            <w:tcW w:w="1250" w:type="pct"/>
          </w:tcPr>
          <w:p w14:paraId="276514EC" w14:textId="77777777" w:rsidR="00025FD6" w:rsidRPr="00815876" w:rsidRDefault="00025FD6" w:rsidP="00F07F54">
            <w:pPr>
              <w:rPr>
                <w:sz w:val="24"/>
              </w:rPr>
            </w:pPr>
            <w:r w:rsidRPr="00815876">
              <w:rPr>
                <w:sz w:val="24"/>
              </w:rPr>
              <w:t>Дата рождения</w:t>
            </w:r>
          </w:p>
        </w:tc>
        <w:tc>
          <w:tcPr>
            <w:tcW w:w="3750" w:type="pct"/>
          </w:tcPr>
          <w:p w14:paraId="6BE061B9" w14:textId="087AB001" w:rsidR="00025FD6" w:rsidRPr="00815876" w:rsidRDefault="007F0710" w:rsidP="00F07F54">
            <w:pPr>
              <w:rPr>
                <w:i/>
                <w:sz w:val="24"/>
                <w:szCs w:val="22"/>
              </w:rPr>
            </w:pPr>
            <w:r>
              <w:rPr>
                <w:i/>
                <w:sz w:val="24"/>
                <w:szCs w:val="22"/>
              </w:rPr>
              <w:t>24.06.1975</w:t>
            </w:r>
          </w:p>
        </w:tc>
      </w:tr>
      <w:tr w:rsidR="00025FD6" w:rsidRPr="00815876" w14:paraId="07B5824D" w14:textId="77777777" w:rsidTr="00F07F54">
        <w:tblPrEx>
          <w:shd w:val="clear" w:color="auto" w:fill="auto"/>
        </w:tblPrEx>
        <w:tc>
          <w:tcPr>
            <w:tcW w:w="1250" w:type="pct"/>
          </w:tcPr>
          <w:p w14:paraId="39196617" w14:textId="77777777" w:rsidR="00025FD6" w:rsidRPr="00815876" w:rsidRDefault="00025FD6" w:rsidP="00F07F54">
            <w:pPr>
              <w:rPr>
                <w:sz w:val="24"/>
              </w:rPr>
            </w:pPr>
            <w:r w:rsidRPr="00815876">
              <w:rPr>
                <w:sz w:val="24"/>
              </w:rPr>
              <w:t>Образование</w:t>
            </w:r>
          </w:p>
        </w:tc>
        <w:tc>
          <w:tcPr>
            <w:tcW w:w="3750" w:type="pct"/>
          </w:tcPr>
          <w:p w14:paraId="1E6E4764" w14:textId="77777777" w:rsidR="00025FD6" w:rsidRPr="00815876" w:rsidRDefault="00025FD6" w:rsidP="00F07F54">
            <w:pPr>
              <w:rPr>
                <w:i/>
                <w:sz w:val="24"/>
                <w:szCs w:val="22"/>
              </w:rPr>
            </w:pPr>
            <w:r>
              <w:rPr>
                <w:i/>
                <w:sz w:val="24"/>
                <w:szCs w:val="22"/>
              </w:rPr>
              <w:t>Высшее. Специальность история</w:t>
            </w:r>
          </w:p>
        </w:tc>
      </w:tr>
      <w:tr w:rsidR="00025FD6" w:rsidRPr="00815876" w14:paraId="6E42E5E6" w14:textId="77777777" w:rsidTr="00F07F54">
        <w:tblPrEx>
          <w:shd w:val="clear" w:color="auto" w:fill="auto"/>
        </w:tblPrEx>
        <w:tc>
          <w:tcPr>
            <w:tcW w:w="1250" w:type="pct"/>
          </w:tcPr>
          <w:p w14:paraId="59547593" w14:textId="77777777" w:rsidR="00025FD6" w:rsidRPr="00815876" w:rsidRDefault="00025FD6" w:rsidP="00F07F54">
            <w:pPr>
              <w:rPr>
                <w:sz w:val="24"/>
              </w:rPr>
            </w:pPr>
            <w:r w:rsidRPr="00815876">
              <w:rPr>
                <w:sz w:val="24"/>
              </w:rPr>
              <w:t>Телефон автора</w:t>
            </w:r>
          </w:p>
        </w:tc>
        <w:tc>
          <w:tcPr>
            <w:tcW w:w="3750" w:type="pct"/>
          </w:tcPr>
          <w:p w14:paraId="182F6BAF" w14:textId="4B1E3988" w:rsidR="00025FD6" w:rsidRPr="00815876" w:rsidRDefault="00025FD6" w:rsidP="00F07F54">
            <w:pPr>
              <w:rPr>
                <w:i/>
                <w:sz w:val="24"/>
                <w:szCs w:val="22"/>
              </w:rPr>
            </w:pPr>
            <w:r>
              <w:rPr>
                <w:i/>
                <w:sz w:val="24"/>
                <w:szCs w:val="22"/>
              </w:rPr>
              <w:t>89</w:t>
            </w:r>
            <w:r w:rsidR="007F0710">
              <w:rPr>
                <w:i/>
                <w:sz w:val="24"/>
                <w:szCs w:val="22"/>
              </w:rPr>
              <w:t>530857939</w:t>
            </w:r>
          </w:p>
        </w:tc>
      </w:tr>
      <w:tr w:rsidR="00025FD6" w:rsidRPr="00815876" w14:paraId="697755AD" w14:textId="77777777" w:rsidTr="00F07F54">
        <w:tblPrEx>
          <w:shd w:val="clear" w:color="auto" w:fill="auto"/>
        </w:tblPrEx>
        <w:tc>
          <w:tcPr>
            <w:tcW w:w="1250" w:type="pct"/>
          </w:tcPr>
          <w:p w14:paraId="177A93C8" w14:textId="77777777" w:rsidR="00025FD6" w:rsidRPr="00815876" w:rsidRDefault="00025FD6" w:rsidP="00F07F54">
            <w:pPr>
              <w:rPr>
                <w:sz w:val="24"/>
              </w:rPr>
            </w:pPr>
            <w:r w:rsidRPr="00815876">
              <w:rPr>
                <w:sz w:val="24"/>
              </w:rPr>
              <w:t>Адрес электронной почты</w:t>
            </w:r>
            <w:r>
              <w:rPr>
                <w:sz w:val="24"/>
              </w:rPr>
              <w:t xml:space="preserve"> автора</w:t>
            </w:r>
          </w:p>
        </w:tc>
        <w:tc>
          <w:tcPr>
            <w:tcW w:w="3750" w:type="pct"/>
          </w:tcPr>
          <w:p w14:paraId="5484106F" w14:textId="015DE769" w:rsidR="00025FD6" w:rsidRPr="00737144" w:rsidRDefault="00737144" w:rsidP="00F07F54">
            <w:pPr>
              <w:rPr>
                <w:i/>
                <w:sz w:val="24"/>
                <w:szCs w:val="22"/>
                <w:lang w:val="en-US"/>
              </w:rPr>
            </w:pPr>
            <w:r>
              <w:rPr>
                <w:i/>
                <w:sz w:val="24"/>
                <w:szCs w:val="22"/>
                <w:lang w:val="en-US"/>
              </w:rPr>
              <w:t>kev_ena@mail.ru</w:t>
            </w:r>
          </w:p>
        </w:tc>
      </w:tr>
      <w:tr w:rsidR="00025FD6" w:rsidRPr="00815876" w14:paraId="7A7C522B" w14:textId="77777777" w:rsidTr="00F07F54">
        <w:tblPrEx>
          <w:shd w:val="clear" w:color="auto" w:fill="auto"/>
        </w:tblPrEx>
        <w:tc>
          <w:tcPr>
            <w:tcW w:w="1250" w:type="pct"/>
          </w:tcPr>
          <w:p w14:paraId="221EC882" w14:textId="77777777" w:rsidR="00025FD6" w:rsidRPr="00815876" w:rsidRDefault="00025FD6" w:rsidP="00F07F54">
            <w:pPr>
              <w:rPr>
                <w:sz w:val="24"/>
              </w:rPr>
            </w:pPr>
            <w:r>
              <w:rPr>
                <w:sz w:val="24"/>
              </w:rPr>
              <w:t xml:space="preserve">Образовательная </w:t>
            </w:r>
            <w:r>
              <w:rPr>
                <w:sz w:val="24"/>
              </w:rPr>
              <w:br/>
              <w:t>организация</w:t>
            </w:r>
          </w:p>
        </w:tc>
        <w:tc>
          <w:tcPr>
            <w:tcW w:w="3750" w:type="pct"/>
          </w:tcPr>
          <w:p w14:paraId="11FEE3F8" w14:textId="63CEBA9A" w:rsidR="00025FD6" w:rsidRPr="00737144" w:rsidRDefault="00737144" w:rsidP="00F07F54">
            <w:pPr>
              <w:rPr>
                <w:i/>
                <w:iCs/>
                <w:sz w:val="24"/>
                <w:szCs w:val="22"/>
              </w:rPr>
            </w:pPr>
            <w:r w:rsidRPr="00737144">
              <w:rPr>
                <w:i/>
                <w:iCs/>
                <w:sz w:val="24"/>
                <w:szCs w:val="24"/>
              </w:rPr>
              <w:t>Муниципальное автономное общеобразовательное учреждение муниципального образования город Краснодар средняя общеобразовательная школа № 103 имени Героя Российской Федерации Сергея Палагина</w:t>
            </w:r>
          </w:p>
        </w:tc>
      </w:tr>
      <w:tr w:rsidR="00025FD6" w:rsidRPr="00815876" w14:paraId="7F7EABB3" w14:textId="77777777" w:rsidTr="00F07F54">
        <w:tblPrEx>
          <w:shd w:val="clear" w:color="auto" w:fill="auto"/>
        </w:tblPrEx>
        <w:tc>
          <w:tcPr>
            <w:tcW w:w="1250" w:type="pct"/>
          </w:tcPr>
          <w:p w14:paraId="0E693ADA" w14:textId="77777777" w:rsidR="00025FD6" w:rsidRPr="00815876" w:rsidRDefault="00025FD6" w:rsidP="00F07F54">
            <w:pPr>
              <w:rPr>
                <w:sz w:val="24"/>
              </w:rPr>
            </w:pPr>
            <w:r w:rsidRPr="00815876">
              <w:rPr>
                <w:sz w:val="24"/>
              </w:rPr>
              <w:t xml:space="preserve">Адрес </w:t>
            </w:r>
            <w:r>
              <w:rPr>
                <w:sz w:val="24"/>
              </w:rPr>
              <w:t xml:space="preserve">ОО </w:t>
            </w:r>
          </w:p>
        </w:tc>
        <w:tc>
          <w:tcPr>
            <w:tcW w:w="3750" w:type="pct"/>
          </w:tcPr>
          <w:p w14:paraId="76038127" w14:textId="3C6F8095" w:rsidR="00025FD6" w:rsidRPr="00571A50" w:rsidRDefault="00025FD6" w:rsidP="00F07F54">
            <w:pPr>
              <w:rPr>
                <w:i/>
                <w:sz w:val="24"/>
                <w:szCs w:val="22"/>
              </w:rPr>
            </w:pPr>
            <w:r>
              <w:rPr>
                <w:i/>
                <w:sz w:val="24"/>
              </w:rPr>
              <w:t>350</w:t>
            </w:r>
            <w:r w:rsidR="003A76EF">
              <w:rPr>
                <w:i/>
                <w:sz w:val="24"/>
              </w:rPr>
              <w:t>016</w:t>
            </w:r>
            <w:r>
              <w:rPr>
                <w:i/>
                <w:sz w:val="24"/>
              </w:rPr>
              <w:t xml:space="preserve">, г. Краснодар, ул. </w:t>
            </w:r>
            <w:r w:rsidR="003A76EF">
              <w:rPr>
                <w:i/>
                <w:sz w:val="24"/>
              </w:rPr>
              <w:t>Байбакова Н.К., дом 17</w:t>
            </w:r>
          </w:p>
        </w:tc>
      </w:tr>
      <w:tr w:rsidR="00025FD6" w:rsidRPr="00815876" w14:paraId="75C147F3" w14:textId="77777777" w:rsidTr="00F07F54">
        <w:tblPrEx>
          <w:shd w:val="clear" w:color="auto" w:fill="auto"/>
        </w:tblPrEx>
        <w:tc>
          <w:tcPr>
            <w:tcW w:w="1250" w:type="pct"/>
          </w:tcPr>
          <w:p w14:paraId="398E0004" w14:textId="77777777" w:rsidR="00025FD6" w:rsidRPr="00815876" w:rsidRDefault="00025FD6" w:rsidP="00F07F54">
            <w:pPr>
              <w:rPr>
                <w:sz w:val="24"/>
              </w:rPr>
            </w:pPr>
            <w:r w:rsidRPr="00815876">
              <w:rPr>
                <w:sz w:val="24"/>
              </w:rPr>
              <w:t>Должность</w:t>
            </w:r>
          </w:p>
        </w:tc>
        <w:tc>
          <w:tcPr>
            <w:tcW w:w="3750" w:type="pct"/>
          </w:tcPr>
          <w:p w14:paraId="17A37B63" w14:textId="77777777" w:rsidR="00025FD6" w:rsidRPr="00815876" w:rsidRDefault="00025FD6" w:rsidP="00F07F54">
            <w:pPr>
              <w:rPr>
                <w:i/>
                <w:sz w:val="24"/>
                <w:szCs w:val="22"/>
              </w:rPr>
            </w:pPr>
            <w:r>
              <w:rPr>
                <w:i/>
                <w:sz w:val="24"/>
              </w:rPr>
              <w:t>Учитель истории и обществознания</w:t>
            </w:r>
          </w:p>
        </w:tc>
      </w:tr>
      <w:tr w:rsidR="00025FD6" w:rsidRPr="00815876" w14:paraId="12E657A7" w14:textId="77777777" w:rsidTr="00F07F54">
        <w:tblPrEx>
          <w:shd w:val="clear" w:color="auto" w:fill="auto"/>
        </w:tblPrEx>
        <w:tc>
          <w:tcPr>
            <w:tcW w:w="1250" w:type="pct"/>
            <w:tcBorders>
              <w:bottom w:val="single" w:sz="4" w:space="0" w:color="auto"/>
            </w:tcBorders>
          </w:tcPr>
          <w:p w14:paraId="12F21DF5" w14:textId="77777777" w:rsidR="00025FD6" w:rsidRPr="00815876" w:rsidRDefault="00025FD6" w:rsidP="00F07F54">
            <w:pPr>
              <w:rPr>
                <w:sz w:val="24"/>
              </w:rPr>
            </w:pPr>
            <w:r w:rsidRPr="00815876">
              <w:rPr>
                <w:sz w:val="24"/>
              </w:rPr>
              <w:t>Педагогический стаж, квалификационная категория</w:t>
            </w:r>
          </w:p>
        </w:tc>
        <w:tc>
          <w:tcPr>
            <w:tcW w:w="3750" w:type="pct"/>
            <w:tcBorders>
              <w:bottom w:val="single" w:sz="4" w:space="0" w:color="auto"/>
            </w:tcBorders>
          </w:tcPr>
          <w:p w14:paraId="6D73EA09" w14:textId="1FD3572C" w:rsidR="00025FD6" w:rsidRPr="00815876" w:rsidRDefault="00025FD6" w:rsidP="00F07F54">
            <w:pPr>
              <w:rPr>
                <w:i/>
                <w:sz w:val="24"/>
                <w:szCs w:val="22"/>
              </w:rPr>
            </w:pPr>
            <w:r>
              <w:rPr>
                <w:i/>
                <w:sz w:val="24"/>
                <w:szCs w:val="22"/>
              </w:rPr>
              <w:t>2</w:t>
            </w:r>
            <w:r w:rsidR="00B67695">
              <w:rPr>
                <w:i/>
                <w:sz w:val="24"/>
                <w:szCs w:val="22"/>
                <w:lang w:val="en-US"/>
              </w:rPr>
              <w:t>5</w:t>
            </w:r>
            <w:r>
              <w:rPr>
                <w:i/>
                <w:sz w:val="24"/>
                <w:szCs w:val="22"/>
              </w:rPr>
              <w:t xml:space="preserve"> лет, 1 квалификационная категория</w:t>
            </w:r>
          </w:p>
        </w:tc>
      </w:tr>
      <w:tr w:rsidR="00025FD6" w:rsidRPr="00815876" w14:paraId="14AA92A0" w14:textId="77777777" w:rsidTr="00F07F54">
        <w:tblPrEx>
          <w:shd w:val="clear" w:color="auto" w:fill="auto"/>
        </w:tblPrEx>
        <w:tc>
          <w:tcPr>
            <w:tcW w:w="1250" w:type="pct"/>
            <w:tcBorders>
              <w:bottom w:val="single" w:sz="4" w:space="0" w:color="auto"/>
            </w:tcBorders>
          </w:tcPr>
          <w:p w14:paraId="29BD693A" w14:textId="77777777" w:rsidR="00025FD6" w:rsidRPr="00815876" w:rsidRDefault="00025FD6" w:rsidP="00F07F54">
            <w:pPr>
              <w:rPr>
                <w:sz w:val="24"/>
              </w:rPr>
            </w:pPr>
            <w:r w:rsidRPr="00815876">
              <w:rPr>
                <w:sz w:val="24"/>
              </w:rPr>
              <w:t xml:space="preserve">Размещение </w:t>
            </w:r>
            <w:r>
              <w:rPr>
                <w:sz w:val="24"/>
              </w:rPr>
              <w:t>Р</w:t>
            </w:r>
            <w:r w:rsidRPr="00815876">
              <w:rPr>
                <w:sz w:val="24"/>
              </w:rPr>
              <w:t xml:space="preserve">ИПО на сайте </w:t>
            </w:r>
            <w:r>
              <w:rPr>
                <w:sz w:val="24"/>
              </w:rPr>
              <w:t xml:space="preserve">(в блоге) </w:t>
            </w:r>
            <w:r w:rsidRPr="00815876">
              <w:rPr>
                <w:sz w:val="24"/>
              </w:rPr>
              <w:t>автора</w:t>
            </w:r>
          </w:p>
        </w:tc>
        <w:tc>
          <w:tcPr>
            <w:tcW w:w="3750" w:type="pct"/>
            <w:tcBorders>
              <w:bottom w:val="single" w:sz="4" w:space="0" w:color="auto"/>
            </w:tcBorders>
          </w:tcPr>
          <w:p w14:paraId="627A9B74" w14:textId="77777777" w:rsidR="00025FD6" w:rsidRPr="00815876" w:rsidRDefault="00025FD6" w:rsidP="00F07F54">
            <w:pPr>
              <w:rPr>
                <w:i/>
                <w:sz w:val="24"/>
                <w:szCs w:val="22"/>
              </w:rPr>
            </w:pPr>
            <w:r>
              <w:rPr>
                <w:i/>
                <w:sz w:val="24"/>
                <w:szCs w:val="22"/>
              </w:rPr>
              <w:t>_</w:t>
            </w:r>
          </w:p>
        </w:tc>
      </w:tr>
      <w:tr w:rsidR="00025FD6" w:rsidRPr="00815876" w14:paraId="1B5EFF43" w14:textId="77777777" w:rsidTr="00F07F54">
        <w:tblPrEx>
          <w:shd w:val="clear" w:color="auto" w:fill="auto"/>
        </w:tblPrEx>
        <w:tc>
          <w:tcPr>
            <w:tcW w:w="1250" w:type="pct"/>
            <w:tcBorders>
              <w:bottom w:val="single" w:sz="4" w:space="0" w:color="auto"/>
            </w:tcBorders>
          </w:tcPr>
          <w:p w14:paraId="6EC7C3A9" w14:textId="77777777" w:rsidR="00025FD6" w:rsidRPr="00815876" w:rsidRDefault="00025FD6" w:rsidP="00F07F54">
            <w:pPr>
              <w:rPr>
                <w:sz w:val="24"/>
              </w:rPr>
            </w:pPr>
            <w:r w:rsidRPr="00815876">
              <w:rPr>
                <w:sz w:val="24"/>
              </w:rPr>
              <w:t xml:space="preserve">Размещение </w:t>
            </w:r>
            <w:r>
              <w:rPr>
                <w:sz w:val="24"/>
              </w:rPr>
              <w:t>Р</w:t>
            </w:r>
            <w:r w:rsidRPr="00815876">
              <w:rPr>
                <w:sz w:val="24"/>
              </w:rPr>
              <w:t xml:space="preserve">ИПО на сайте </w:t>
            </w:r>
            <w:r>
              <w:rPr>
                <w:sz w:val="24"/>
              </w:rPr>
              <w:t>ОО</w:t>
            </w:r>
          </w:p>
        </w:tc>
        <w:tc>
          <w:tcPr>
            <w:tcW w:w="3750" w:type="pct"/>
            <w:tcBorders>
              <w:bottom w:val="single" w:sz="4" w:space="0" w:color="auto"/>
            </w:tcBorders>
          </w:tcPr>
          <w:p w14:paraId="00AA2BCD" w14:textId="09C3FDD7" w:rsidR="00025FD6" w:rsidRPr="00D33451" w:rsidRDefault="00025FD6" w:rsidP="00F07F54">
            <w:pPr>
              <w:rPr>
                <w:i/>
                <w:sz w:val="24"/>
                <w:szCs w:val="22"/>
              </w:rPr>
            </w:pPr>
          </w:p>
        </w:tc>
      </w:tr>
      <w:tr w:rsidR="00025FD6" w:rsidRPr="00815876" w14:paraId="35EE113A" w14:textId="77777777" w:rsidTr="00F07F54">
        <w:tblPrEx>
          <w:shd w:val="clear" w:color="auto" w:fill="auto"/>
        </w:tblPrEx>
        <w:tc>
          <w:tcPr>
            <w:tcW w:w="5000" w:type="pct"/>
            <w:gridSpan w:val="2"/>
            <w:shd w:val="clear" w:color="auto" w:fill="CCCCCC"/>
          </w:tcPr>
          <w:p w14:paraId="26737221" w14:textId="77777777" w:rsidR="00025FD6" w:rsidRPr="00815876" w:rsidRDefault="00025FD6" w:rsidP="00F07F54">
            <w:pPr>
              <w:jc w:val="center"/>
              <w:rPr>
                <w:b/>
                <w:sz w:val="24"/>
                <w:szCs w:val="22"/>
              </w:rPr>
            </w:pPr>
            <w:r w:rsidRPr="00815876">
              <w:rPr>
                <w:b/>
                <w:sz w:val="24"/>
                <w:szCs w:val="22"/>
                <w:lang w:val="en-US"/>
              </w:rPr>
              <w:t>II</w:t>
            </w:r>
            <w:r w:rsidRPr="00815876">
              <w:rPr>
                <w:b/>
                <w:sz w:val="24"/>
                <w:szCs w:val="22"/>
              </w:rPr>
              <w:t>.</w:t>
            </w:r>
            <w:r>
              <w:rPr>
                <w:b/>
                <w:sz w:val="24"/>
                <w:szCs w:val="22"/>
              </w:rPr>
              <w:t xml:space="preserve"> </w:t>
            </w:r>
            <w:r w:rsidRPr="00815876">
              <w:rPr>
                <w:b/>
                <w:sz w:val="24"/>
                <w:szCs w:val="22"/>
              </w:rPr>
              <w:t>Сущностные характеристики опыта</w:t>
            </w:r>
          </w:p>
        </w:tc>
      </w:tr>
      <w:tr w:rsidR="00025FD6" w:rsidRPr="00815876" w14:paraId="407D6DC1" w14:textId="77777777" w:rsidTr="00F07F54">
        <w:tblPrEx>
          <w:shd w:val="clear" w:color="auto" w:fill="auto"/>
        </w:tblPrEx>
        <w:tc>
          <w:tcPr>
            <w:tcW w:w="1250" w:type="pct"/>
          </w:tcPr>
          <w:p w14:paraId="0917A6DE" w14:textId="77777777" w:rsidR="00025FD6" w:rsidRPr="00815876" w:rsidRDefault="00025FD6" w:rsidP="00F07F54">
            <w:pPr>
              <w:rPr>
                <w:sz w:val="24"/>
              </w:rPr>
            </w:pPr>
            <w:r w:rsidRPr="00815876">
              <w:rPr>
                <w:sz w:val="24"/>
              </w:rPr>
              <w:t xml:space="preserve">1. Тема </w:t>
            </w:r>
            <w:r>
              <w:rPr>
                <w:sz w:val="24"/>
              </w:rPr>
              <w:t>РИПО</w:t>
            </w:r>
            <w:r w:rsidRPr="00815876">
              <w:rPr>
                <w:sz w:val="24"/>
              </w:rPr>
              <w:t xml:space="preserve"> </w:t>
            </w:r>
          </w:p>
        </w:tc>
        <w:tc>
          <w:tcPr>
            <w:tcW w:w="3750" w:type="pct"/>
          </w:tcPr>
          <w:p w14:paraId="6B6944B3" w14:textId="446D9EEB" w:rsidR="00025FD6" w:rsidRPr="00D33451" w:rsidRDefault="00025FD6" w:rsidP="00F07F54">
            <w:pPr>
              <w:rPr>
                <w:i/>
                <w:sz w:val="24"/>
                <w:szCs w:val="24"/>
              </w:rPr>
            </w:pPr>
            <w:r w:rsidRPr="00D33451">
              <w:rPr>
                <w:i/>
                <w:sz w:val="24"/>
                <w:szCs w:val="24"/>
              </w:rPr>
              <w:t>Технологическая карта урока истории на тему: «</w:t>
            </w:r>
            <w:r w:rsidR="00571A50" w:rsidRPr="00D33451">
              <w:rPr>
                <w:i/>
                <w:color w:val="000000"/>
                <w:sz w:val="24"/>
                <w:szCs w:val="24"/>
              </w:rPr>
              <w:t>Россия и мир накануне Первой мировой войны</w:t>
            </w:r>
            <w:r w:rsidRPr="00D33451">
              <w:rPr>
                <w:i/>
                <w:sz w:val="24"/>
                <w:szCs w:val="24"/>
              </w:rPr>
              <w:t>»</w:t>
            </w:r>
          </w:p>
        </w:tc>
      </w:tr>
      <w:tr w:rsidR="00025FD6" w:rsidRPr="00815876" w14:paraId="70D3DCB3" w14:textId="77777777" w:rsidTr="00F07F54">
        <w:tblPrEx>
          <w:shd w:val="clear" w:color="auto" w:fill="auto"/>
        </w:tblPrEx>
        <w:tc>
          <w:tcPr>
            <w:tcW w:w="1250" w:type="pct"/>
          </w:tcPr>
          <w:p w14:paraId="26E86027" w14:textId="77777777" w:rsidR="00025FD6" w:rsidRPr="00815876" w:rsidRDefault="00025FD6" w:rsidP="00F07F54">
            <w:pPr>
              <w:rPr>
                <w:sz w:val="24"/>
              </w:rPr>
            </w:pPr>
            <w:r>
              <w:rPr>
                <w:sz w:val="24"/>
              </w:rPr>
              <w:t>2. </w:t>
            </w:r>
            <w:r w:rsidRPr="00815876">
              <w:rPr>
                <w:sz w:val="24"/>
              </w:rPr>
              <w:t xml:space="preserve">Предметная </w:t>
            </w:r>
            <w:r>
              <w:rPr>
                <w:sz w:val="24"/>
              </w:rPr>
              <w:br/>
            </w:r>
            <w:r w:rsidRPr="00815876">
              <w:rPr>
                <w:sz w:val="24"/>
              </w:rPr>
              <w:t>область</w:t>
            </w:r>
          </w:p>
        </w:tc>
        <w:tc>
          <w:tcPr>
            <w:tcW w:w="3750" w:type="pct"/>
          </w:tcPr>
          <w:p w14:paraId="3BBD863E" w14:textId="77777777" w:rsidR="00025FD6" w:rsidRPr="00815876" w:rsidRDefault="00025FD6" w:rsidP="00F07F54">
            <w:pPr>
              <w:rPr>
                <w:i/>
                <w:sz w:val="24"/>
                <w:szCs w:val="22"/>
              </w:rPr>
            </w:pPr>
            <w:r>
              <w:rPr>
                <w:i/>
                <w:sz w:val="24"/>
                <w:szCs w:val="22"/>
              </w:rPr>
              <w:t>История</w:t>
            </w:r>
          </w:p>
        </w:tc>
      </w:tr>
      <w:tr w:rsidR="00025FD6" w:rsidRPr="00815876" w14:paraId="0C733B67" w14:textId="77777777" w:rsidTr="00F07F54">
        <w:tblPrEx>
          <w:shd w:val="clear" w:color="auto" w:fill="auto"/>
        </w:tblPrEx>
        <w:tc>
          <w:tcPr>
            <w:tcW w:w="1250" w:type="pct"/>
          </w:tcPr>
          <w:p w14:paraId="0AC6B99D" w14:textId="77777777" w:rsidR="00025FD6" w:rsidRPr="00815876" w:rsidRDefault="00025FD6" w:rsidP="00F07F54">
            <w:pPr>
              <w:rPr>
                <w:sz w:val="24"/>
              </w:rPr>
            </w:pPr>
            <w:r>
              <w:rPr>
                <w:sz w:val="24"/>
              </w:rPr>
              <w:t>3. Идея изменений</w:t>
            </w:r>
            <w:r w:rsidRPr="00815876">
              <w:rPr>
                <w:sz w:val="24"/>
              </w:rPr>
              <w:t xml:space="preserve"> (в чем сущность ИПО: в использовании образовательных, информационно-коммуникационных или других технологий, в изменении содержания образования, организации учебного или воспи</w:t>
            </w:r>
            <w:r>
              <w:rPr>
                <w:sz w:val="24"/>
              </w:rPr>
              <w:t>тательного процесса, другие особенности изменений</w:t>
            </w:r>
            <w:r w:rsidRPr="00815876">
              <w:rPr>
                <w:sz w:val="24"/>
              </w:rPr>
              <w:t>)</w:t>
            </w:r>
          </w:p>
        </w:tc>
        <w:tc>
          <w:tcPr>
            <w:tcW w:w="3750" w:type="pct"/>
          </w:tcPr>
          <w:p w14:paraId="04CB75CF" w14:textId="77777777" w:rsidR="00025FD6" w:rsidRPr="00815876" w:rsidRDefault="00025FD6" w:rsidP="00F07F54">
            <w:pPr>
              <w:jc w:val="both"/>
              <w:rPr>
                <w:i/>
                <w:sz w:val="24"/>
                <w:szCs w:val="22"/>
              </w:rPr>
            </w:pPr>
            <w:r>
              <w:rPr>
                <w:i/>
                <w:sz w:val="24"/>
                <w:szCs w:val="22"/>
              </w:rPr>
              <w:t>Использование коммуникативно-информационных технологий в обучении, применение интерактивных технологий, проверка усвоения теоретических знаний при заполнении таблиц, расширение возможностей реализации воспитательных целей и задач урока</w:t>
            </w:r>
          </w:p>
        </w:tc>
      </w:tr>
      <w:tr w:rsidR="00025FD6" w:rsidRPr="00815876" w14:paraId="032E5981" w14:textId="77777777" w:rsidTr="00F07F54">
        <w:tblPrEx>
          <w:shd w:val="clear" w:color="auto" w:fill="auto"/>
        </w:tblPrEx>
        <w:tc>
          <w:tcPr>
            <w:tcW w:w="1250" w:type="pct"/>
          </w:tcPr>
          <w:p w14:paraId="3BBA908C" w14:textId="77777777" w:rsidR="00025FD6" w:rsidRPr="00815876" w:rsidRDefault="00025FD6" w:rsidP="00F07F54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Pr="00815876">
              <w:rPr>
                <w:sz w:val="24"/>
              </w:rPr>
              <w:t xml:space="preserve">. Концепция изменений (способы, их преимущества </w:t>
            </w:r>
            <w:r w:rsidRPr="00815876">
              <w:rPr>
                <w:sz w:val="24"/>
              </w:rPr>
              <w:lastRenderedPageBreak/>
              <w:t>перед аналогами и новизна, ограничения, трудо</w:t>
            </w:r>
            <w:r>
              <w:rPr>
                <w:sz w:val="24"/>
              </w:rPr>
              <w:t>ё</w:t>
            </w:r>
            <w:r w:rsidRPr="00815876">
              <w:rPr>
                <w:sz w:val="24"/>
              </w:rPr>
              <w:t>мкость, риски)</w:t>
            </w:r>
          </w:p>
        </w:tc>
        <w:tc>
          <w:tcPr>
            <w:tcW w:w="3750" w:type="pct"/>
          </w:tcPr>
          <w:p w14:paraId="7F481230" w14:textId="77777777" w:rsidR="00025FD6" w:rsidRDefault="00025FD6" w:rsidP="00F07F54">
            <w:pPr>
              <w:jc w:val="both"/>
              <w:rPr>
                <w:i/>
                <w:sz w:val="24"/>
                <w:szCs w:val="22"/>
              </w:rPr>
            </w:pPr>
            <w:r>
              <w:rPr>
                <w:i/>
                <w:sz w:val="24"/>
                <w:szCs w:val="22"/>
              </w:rPr>
              <w:lastRenderedPageBreak/>
              <w:t xml:space="preserve">Перестройка привычного видения учебного материала и самого учебного процесса на основе взаимного сотрудничества в ходе </w:t>
            </w:r>
            <w:r>
              <w:rPr>
                <w:i/>
                <w:sz w:val="24"/>
                <w:szCs w:val="22"/>
              </w:rPr>
              <w:lastRenderedPageBreak/>
              <w:t>подготовки и проведения учебного занятия, усвоения учебного материала и его закрепления.</w:t>
            </w:r>
          </w:p>
          <w:p w14:paraId="0AEEB8A5" w14:textId="77777777" w:rsidR="00025FD6" w:rsidRPr="00815876" w:rsidRDefault="00025FD6" w:rsidP="00F07F54">
            <w:pPr>
              <w:jc w:val="both"/>
              <w:rPr>
                <w:i/>
                <w:sz w:val="24"/>
                <w:szCs w:val="22"/>
              </w:rPr>
            </w:pPr>
            <w:r>
              <w:rPr>
                <w:i/>
                <w:sz w:val="24"/>
                <w:szCs w:val="22"/>
              </w:rPr>
              <w:t>Трудоемкость заключается в том, что учитель должен хорошо разбираться в материале, данном при рассмотрении данной темы, т.е. иметь должную квалификацию, а также владеть основами работы на компьютере. Риски – увеличение нагрузки, трудоемкость обработки материала.</w:t>
            </w:r>
          </w:p>
        </w:tc>
      </w:tr>
      <w:tr w:rsidR="00025FD6" w:rsidRPr="00815876" w14:paraId="2D65D46D" w14:textId="77777777" w:rsidTr="00F07F54">
        <w:tblPrEx>
          <w:shd w:val="clear" w:color="auto" w:fill="auto"/>
        </w:tblPrEx>
        <w:tc>
          <w:tcPr>
            <w:tcW w:w="1250" w:type="pct"/>
          </w:tcPr>
          <w:p w14:paraId="242C48E3" w14:textId="77777777" w:rsidR="00025FD6" w:rsidRPr="00815876" w:rsidRDefault="00025FD6" w:rsidP="00F07F54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lastRenderedPageBreak/>
              <w:t>5</w:t>
            </w:r>
            <w:r w:rsidRPr="00815876">
              <w:rPr>
                <w:sz w:val="24"/>
                <w:szCs w:val="22"/>
              </w:rPr>
              <w:t xml:space="preserve">. Результат </w:t>
            </w:r>
            <w:r>
              <w:rPr>
                <w:sz w:val="24"/>
                <w:szCs w:val="22"/>
              </w:rPr>
              <w:br/>
            </w:r>
            <w:r w:rsidRPr="00815876">
              <w:rPr>
                <w:sz w:val="24"/>
                <w:szCs w:val="22"/>
              </w:rPr>
              <w:t>изменений</w:t>
            </w:r>
          </w:p>
        </w:tc>
        <w:tc>
          <w:tcPr>
            <w:tcW w:w="3750" w:type="pct"/>
          </w:tcPr>
          <w:p w14:paraId="51F4E796" w14:textId="77777777" w:rsidR="00025FD6" w:rsidRDefault="00025FD6" w:rsidP="00F07F54">
            <w:pPr>
              <w:jc w:val="both"/>
              <w:rPr>
                <w:i/>
                <w:sz w:val="24"/>
                <w:szCs w:val="22"/>
              </w:rPr>
            </w:pPr>
            <w:r>
              <w:rPr>
                <w:i/>
                <w:sz w:val="24"/>
                <w:szCs w:val="22"/>
              </w:rPr>
              <w:t>1. Появление новой методической разработки с элементами исследования.</w:t>
            </w:r>
          </w:p>
          <w:p w14:paraId="3B653C09" w14:textId="77777777" w:rsidR="00025FD6" w:rsidRDefault="00025FD6" w:rsidP="00F07F54">
            <w:pPr>
              <w:jc w:val="both"/>
              <w:rPr>
                <w:i/>
                <w:sz w:val="24"/>
                <w:szCs w:val="22"/>
              </w:rPr>
            </w:pPr>
            <w:r>
              <w:rPr>
                <w:i/>
                <w:sz w:val="24"/>
                <w:szCs w:val="22"/>
              </w:rPr>
              <w:t>2. Использование технологической карты в условиях дистанционного обучения.</w:t>
            </w:r>
          </w:p>
          <w:p w14:paraId="35BCF73E" w14:textId="77777777" w:rsidR="00025FD6" w:rsidRPr="00815876" w:rsidRDefault="00025FD6" w:rsidP="00F07F54">
            <w:pPr>
              <w:jc w:val="both"/>
              <w:rPr>
                <w:i/>
                <w:sz w:val="24"/>
                <w:szCs w:val="22"/>
              </w:rPr>
            </w:pPr>
            <w:r>
              <w:rPr>
                <w:i/>
                <w:sz w:val="24"/>
                <w:szCs w:val="22"/>
              </w:rPr>
              <w:t>3.Обширный демонстрационный материал.</w:t>
            </w:r>
          </w:p>
        </w:tc>
      </w:tr>
      <w:tr w:rsidR="00025FD6" w:rsidRPr="00815876" w14:paraId="63CC82D0" w14:textId="77777777" w:rsidTr="00F07F54">
        <w:tblPrEx>
          <w:shd w:val="clear" w:color="auto" w:fill="auto"/>
        </w:tblPrEx>
        <w:tc>
          <w:tcPr>
            <w:tcW w:w="1250" w:type="pct"/>
          </w:tcPr>
          <w:p w14:paraId="36931757" w14:textId="77777777" w:rsidR="00025FD6" w:rsidRPr="00815876" w:rsidRDefault="00025FD6" w:rsidP="00F07F54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6. </w:t>
            </w:r>
            <w:r w:rsidRPr="00815876">
              <w:rPr>
                <w:sz w:val="24"/>
              </w:rPr>
              <w:t>Участие автора в</w:t>
            </w:r>
            <w:r>
              <w:rPr>
                <w:sz w:val="24"/>
              </w:rPr>
              <w:t> </w:t>
            </w:r>
            <w:r w:rsidRPr="00815876">
              <w:rPr>
                <w:sz w:val="24"/>
              </w:rPr>
              <w:t xml:space="preserve">педагогических конференциях, </w:t>
            </w:r>
            <w:r>
              <w:rPr>
                <w:sz w:val="24"/>
              </w:rPr>
              <w:br/>
            </w:r>
            <w:r w:rsidRPr="00815876">
              <w:rPr>
                <w:sz w:val="24"/>
              </w:rPr>
              <w:t>профессиональных конкурсах</w:t>
            </w:r>
          </w:p>
        </w:tc>
        <w:tc>
          <w:tcPr>
            <w:tcW w:w="3750" w:type="pct"/>
          </w:tcPr>
          <w:p w14:paraId="43F331DB" w14:textId="74925365" w:rsidR="00025FD6" w:rsidRPr="00815876" w:rsidRDefault="00025FD6" w:rsidP="00F07F54">
            <w:pPr>
              <w:autoSpaceDE w:val="0"/>
              <w:autoSpaceDN w:val="0"/>
              <w:adjustRightInd w:val="0"/>
              <w:rPr>
                <w:i/>
                <w:sz w:val="24"/>
                <w:szCs w:val="22"/>
              </w:rPr>
            </w:pPr>
          </w:p>
        </w:tc>
      </w:tr>
      <w:tr w:rsidR="00025FD6" w:rsidRPr="00815876" w14:paraId="55BCD1C7" w14:textId="77777777" w:rsidTr="00F07F54">
        <w:tblPrEx>
          <w:shd w:val="clear" w:color="auto" w:fill="auto"/>
        </w:tblPrEx>
        <w:tc>
          <w:tcPr>
            <w:tcW w:w="1250" w:type="pct"/>
          </w:tcPr>
          <w:p w14:paraId="37C340C0" w14:textId="77777777" w:rsidR="00025FD6" w:rsidRPr="00815876" w:rsidRDefault="00025FD6" w:rsidP="00F07F54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7. </w:t>
            </w:r>
            <w:r w:rsidRPr="00815876">
              <w:rPr>
                <w:sz w:val="24"/>
              </w:rPr>
              <w:t>Публикации автора по теме обобщаемого педагогического опыта</w:t>
            </w:r>
          </w:p>
        </w:tc>
        <w:tc>
          <w:tcPr>
            <w:tcW w:w="3750" w:type="pct"/>
          </w:tcPr>
          <w:p w14:paraId="5897E1C3" w14:textId="09469A18" w:rsidR="00025FD6" w:rsidRPr="00122530" w:rsidRDefault="00025FD6" w:rsidP="00F07F54">
            <w:pPr>
              <w:autoSpaceDE w:val="0"/>
              <w:autoSpaceDN w:val="0"/>
              <w:adjustRightInd w:val="0"/>
              <w:rPr>
                <w:i/>
                <w:sz w:val="24"/>
                <w:szCs w:val="22"/>
              </w:rPr>
            </w:pPr>
          </w:p>
        </w:tc>
      </w:tr>
      <w:tr w:rsidR="00025FD6" w:rsidRPr="00815876" w14:paraId="74ECA76D" w14:textId="77777777" w:rsidTr="00F07F54">
        <w:tblPrEx>
          <w:shd w:val="clear" w:color="auto" w:fill="auto"/>
        </w:tblPrEx>
        <w:tc>
          <w:tcPr>
            <w:tcW w:w="5000" w:type="pct"/>
            <w:gridSpan w:val="2"/>
            <w:shd w:val="clear" w:color="auto" w:fill="CCCCCC"/>
          </w:tcPr>
          <w:p w14:paraId="47C89443" w14:textId="77777777" w:rsidR="00025FD6" w:rsidRPr="00815876" w:rsidRDefault="00025FD6" w:rsidP="00F07F54">
            <w:pPr>
              <w:jc w:val="center"/>
              <w:rPr>
                <w:b/>
                <w:sz w:val="24"/>
                <w:szCs w:val="22"/>
              </w:rPr>
            </w:pPr>
            <w:r w:rsidRPr="00815876">
              <w:rPr>
                <w:b/>
                <w:sz w:val="24"/>
                <w:szCs w:val="22"/>
                <w:lang w:val="en-US"/>
              </w:rPr>
              <w:t>III</w:t>
            </w:r>
            <w:r w:rsidRPr="00815876">
              <w:rPr>
                <w:b/>
                <w:sz w:val="24"/>
                <w:szCs w:val="22"/>
              </w:rPr>
              <w:t>. Педагогическое эссе. Описание инновационного опыта</w:t>
            </w:r>
          </w:p>
        </w:tc>
      </w:tr>
      <w:tr w:rsidR="00025FD6" w:rsidRPr="00815876" w14:paraId="271F5279" w14:textId="77777777" w:rsidTr="00F07F54">
        <w:tblPrEx>
          <w:shd w:val="clear" w:color="auto" w:fill="auto"/>
        </w:tblPrEx>
        <w:tc>
          <w:tcPr>
            <w:tcW w:w="5000" w:type="pct"/>
            <w:gridSpan w:val="2"/>
          </w:tcPr>
          <w:p w14:paraId="35DFFFAD" w14:textId="0F7F9A80" w:rsidR="00025FD6" w:rsidRPr="00815876" w:rsidRDefault="00025FD6" w:rsidP="00F07F5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Представленная технологическая карта урока истории России по теме:</w:t>
            </w:r>
            <w:r w:rsidR="00E01633">
              <w:rPr>
                <w:i/>
                <w:sz w:val="24"/>
              </w:rPr>
              <w:t xml:space="preserve"> </w:t>
            </w:r>
            <w:r w:rsidR="00E01633">
              <w:rPr>
                <w:i/>
                <w:sz w:val="24"/>
                <w:szCs w:val="22"/>
              </w:rPr>
              <w:t>«Россия и мир накануне Первой мировой войны»</w:t>
            </w:r>
            <w:r w:rsidR="00E0163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может быть использована </w:t>
            </w:r>
            <w:r w:rsidR="00E01633">
              <w:rPr>
                <w:i/>
                <w:sz w:val="24"/>
              </w:rPr>
              <w:t>при изучении нового материала</w:t>
            </w:r>
            <w:r>
              <w:rPr>
                <w:i/>
                <w:sz w:val="24"/>
              </w:rPr>
              <w:t xml:space="preserve"> </w:t>
            </w:r>
            <w:r w:rsidR="00E01633">
              <w:rPr>
                <w:i/>
                <w:sz w:val="24"/>
              </w:rPr>
              <w:t xml:space="preserve">курса </w:t>
            </w:r>
            <w:r>
              <w:rPr>
                <w:i/>
                <w:sz w:val="24"/>
              </w:rPr>
              <w:t>истории России</w:t>
            </w:r>
            <w:r w:rsidR="00E0163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 1</w:t>
            </w:r>
            <w:r w:rsidR="00E01633">
              <w:rPr>
                <w:i/>
                <w:sz w:val="24"/>
              </w:rPr>
              <w:t>0</w:t>
            </w:r>
            <w:r>
              <w:rPr>
                <w:i/>
                <w:sz w:val="24"/>
              </w:rPr>
              <w:t xml:space="preserve"> классе, на основе программы «История</w:t>
            </w:r>
            <w:r w:rsidR="00E01633">
              <w:rPr>
                <w:i/>
                <w:sz w:val="24"/>
              </w:rPr>
              <w:t>.Базовый уровень</w:t>
            </w:r>
            <w:r>
              <w:rPr>
                <w:i/>
                <w:sz w:val="24"/>
              </w:rPr>
              <w:t xml:space="preserve">. </w:t>
            </w:r>
            <w:r w:rsidR="00D144E2">
              <w:rPr>
                <w:i/>
                <w:sz w:val="24"/>
                <w:lang w:val="en-US"/>
              </w:rPr>
              <w:t>ID</w:t>
            </w:r>
            <w:r w:rsidR="00D144E2" w:rsidRPr="00D144E2">
              <w:rPr>
                <w:i/>
                <w:sz w:val="24"/>
              </w:rPr>
              <w:t xml:space="preserve"> 2367695 </w:t>
            </w:r>
            <w:r w:rsidR="00D144E2">
              <w:rPr>
                <w:i/>
                <w:sz w:val="24"/>
              </w:rPr>
              <w:t>для обучающихся 10-11 классов.</w:t>
            </w:r>
            <w:r w:rsidR="00D144E2" w:rsidRPr="00D144E2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Данная технологическая карта была составлена в 202</w:t>
            </w:r>
            <w:r w:rsidR="00D144E2" w:rsidRPr="00D144E2">
              <w:rPr>
                <w:i/>
                <w:sz w:val="24"/>
              </w:rPr>
              <w:t>5</w:t>
            </w:r>
            <w:r>
              <w:rPr>
                <w:i/>
                <w:sz w:val="24"/>
              </w:rPr>
              <w:t xml:space="preserve"> году с целью расширения объема изучаемого материала. В связи с наличием в каждой школе сети Интернет и компьютерных технологий, технической оснащенности предметных кабинетов возникла необходимость в изменении технологий видения учебных занятий, подачи нового материала. Также данная технологическая карта может быть использована при дистанционном обучении. Наглядность, визуальность восприятия, красочность – все это повышает учебный интерес у обучающихся. Данная технологическая карта была апробирована в этом учебном году </w:t>
            </w:r>
            <w:r w:rsidR="00D144E2">
              <w:rPr>
                <w:i/>
                <w:sz w:val="24"/>
              </w:rPr>
              <w:t>на уроке в 10Ж классе</w:t>
            </w:r>
            <w:r>
              <w:rPr>
                <w:i/>
                <w:sz w:val="24"/>
              </w:rPr>
              <w:t>. Необходимо отметить тот факт, учащиеся 1</w:t>
            </w:r>
            <w:r w:rsidR="00D144E2">
              <w:rPr>
                <w:i/>
                <w:sz w:val="24"/>
              </w:rPr>
              <w:t>0</w:t>
            </w:r>
            <w:r>
              <w:rPr>
                <w:i/>
                <w:sz w:val="24"/>
              </w:rPr>
              <w:t>-х классов стали более внимательно изучать и транслировать свои знания по предмету. Визуальное восприятие на уроке, подкрепленное видеоматериалом и презентациями повысило уровень усвоения материала.</w:t>
            </w:r>
          </w:p>
          <w:p w14:paraId="6D606C15" w14:textId="77777777" w:rsidR="00025FD6" w:rsidRPr="00815876" w:rsidRDefault="00025FD6" w:rsidP="00F07F54">
            <w:pPr>
              <w:rPr>
                <w:sz w:val="24"/>
              </w:rPr>
            </w:pPr>
          </w:p>
        </w:tc>
      </w:tr>
      <w:tr w:rsidR="00025FD6" w:rsidRPr="00815876" w14:paraId="11409245" w14:textId="77777777" w:rsidTr="00F07F54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shd w:val="clear" w:color="auto" w:fill="CCCCCC"/>
          </w:tcPr>
          <w:p w14:paraId="77ABB4B6" w14:textId="77777777" w:rsidR="00025FD6" w:rsidRPr="00815876" w:rsidRDefault="00025FD6" w:rsidP="00F07F54">
            <w:pPr>
              <w:jc w:val="center"/>
              <w:rPr>
                <w:b/>
                <w:sz w:val="24"/>
                <w:szCs w:val="22"/>
              </w:rPr>
            </w:pPr>
            <w:r w:rsidRPr="00815876">
              <w:rPr>
                <w:b/>
                <w:sz w:val="24"/>
                <w:szCs w:val="22"/>
                <w:lang w:val="en-US"/>
              </w:rPr>
              <w:t>IV</w:t>
            </w:r>
            <w:r w:rsidRPr="00815876">
              <w:rPr>
                <w:b/>
                <w:sz w:val="24"/>
                <w:szCs w:val="22"/>
              </w:rPr>
              <w:t>.</w:t>
            </w:r>
            <w:r>
              <w:rPr>
                <w:b/>
                <w:sz w:val="24"/>
                <w:szCs w:val="22"/>
              </w:rPr>
              <w:t xml:space="preserve"> </w:t>
            </w:r>
            <w:r w:rsidRPr="00815876">
              <w:rPr>
                <w:b/>
                <w:sz w:val="24"/>
                <w:szCs w:val="22"/>
              </w:rPr>
              <w:t>Экспертное заключение</w:t>
            </w:r>
          </w:p>
        </w:tc>
      </w:tr>
      <w:tr w:rsidR="00025FD6" w:rsidRPr="00815876" w14:paraId="5A98146F" w14:textId="77777777" w:rsidTr="00F07F54">
        <w:tblPrEx>
          <w:shd w:val="clear" w:color="auto" w:fill="auto"/>
          <w:tblLook w:val="0000" w:firstRow="0" w:lastRow="0" w:firstColumn="0" w:lastColumn="0" w:noHBand="0" w:noVBand="0"/>
        </w:tblPrEx>
        <w:tc>
          <w:tcPr>
            <w:tcW w:w="1250" w:type="pct"/>
          </w:tcPr>
          <w:p w14:paraId="7538271F" w14:textId="77777777" w:rsidR="00025FD6" w:rsidRPr="008D77AA" w:rsidRDefault="00025FD6" w:rsidP="00F07F54">
            <w:pPr>
              <w:spacing w:after="120"/>
              <w:rPr>
                <w:rFonts w:eastAsia="Calibri"/>
                <w:sz w:val="24"/>
                <w:szCs w:val="24"/>
                <w:lang w:eastAsia="en-US"/>
              </w:rPr>
            </w:pPr>
            <w:r w:rsidRPr="008D77AA">
              <w:rPr>
                <w:rFonts w:eastAsia="Calibri"/>
                <w:sz w:val="24"/>
                <w:szCs w:val="24"/>
                <w:lang w:eastAsia="en-US"/>
              </w:rPr>
              <w:t>Главный специалист отдела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D77AA">
              <w:rPr>
                <w:rFonts w:eastAsia="Calibri"/>
                <w:sz w:val="24"/>
                <w:szCs w:val="24"/>
                <w:lang w:eastAsia="en-US"/>
              </w:rPr>
              <w:t>анализа и поддержки образовательного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D77AA">
              <w:rPr>
                <w:rFonts w:eastAsia="Calibri"/>
                <w:sz w:val="24"/>
                <w:szCs w:val="24"/>
                <w:lang w:eastAsia="en-US"/>
              </w:rPr>
              <w:t>процесса Департамента образования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D77AA">
              <w:rPr>
                <w:rFonts w:eastAsia="Calibri"/>
                <w:sz w:val="24"/>
                <w:szCs w:val="24"/>
                <w:lang w:eastAsia="en-US"/>
              </w:rPr>
              <w:t>муниципального образования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</w:t>
            </w:r>
            <w:r w:rsidRPr="008D77AA">
              <w:rPr>
                <w:rFonts w:eastAsia="Calibri"/>
                <w:sz w:val="24"/>
                <w:szCs w:val="24"/>
                <w:lang w:eastAsia="en-US"/>
              </w:rPr>
              <w:t>. Краснодар                                                                   И.В. Антипова</w:t>
            </w:r>
          </w:p>
          <w:p w14:paraId="0641CA19" w14:textId="77777777" w:rsidR="00025FD6" w:rsidRPr="00815876" w:rsidRDefault="00025FD6" w:rsidP="00F07F54">
            <w:pPr>
              <w:rPr>
                <w:sz w:val="24"/>
              </w:rPr>
            </w:pPr>
          </w:p>
        </w:tc>
        <w:tc>
          <w:tcPr>
            <w:tcW w:w="3750" w:type="pct"/>
          </w:tcPr>
          <w:p w14:paraId="24F2E20C" w14:textId="77777777" w:rsidR="00025FD6" w:rsidRPr="008D77AA" w:rsidRDefault="00025FD6" w:rsidP="00F07F5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8D77AA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Рассмотренный педагогический опыт затрагивает актуальную для современной системы образования проблему профессиональной самореализации и самовыражения педагога, что способствует активации творческой деятельности, учит глубже анализировать достижения, бережно относиться к собственным методическим находкам, систематизировать, закреплять и развивать их. </w:t>
            </w:r>
          </w:p>
          <w:p w14:paraId="14D6AC58" w14:textId="77777777" w:rsidR="00025FD6" w:rsidRPr="008D77AA" w:rsidRDefault="00025FD6" w:rsidP="00F07F5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8D77AA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       </w:t>
            </w:r>
            <w:r w:rsidRPr="008D77AA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Актуальность </w:t>
            </w:r>
            <w:r w:rsidRPr="008D77AA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инновационного педагогического опыта «Реформы Ивана </w:t>
            </w:r>
            <w:r w:rsidRPr="008D77AA">
              <w:rPr>
                <w:rFonts w:eastAsia="Calibri"/>
                <w:i/>
                <w:color w:val="000000"/>
                <w:sz w:val="24"/>
                <w:szCs w:val="24"/>
                <w:lang w:val="en-US" w:eastAsia="en-US"/>
              </w:rPr>
              <w:t>IV</w:t>
            </w:r>
            <w:r w:rsidRPr="008D77AA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. Избранная рада», обусловлена потребностью в повышении мотивации старшеклассников в учебной деятельности, чему способствует широкое распространение использования коммуникативно-информационных технологий в </w:t>
            </w:r>
            <w:r w:rsidRPr="008D77AA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lastRenderedPageBreak/>
              <w:t>обучении, применение интерактивных технологий, проверка усвоения теоретических знаний при составлении таблиц, расширение возможностей реализации воспитательных целей и задач урока.</w:t>
            </w:r>
          </w:p>
          <w:p w14:paraId="0A9E7879" w14:textId="77777777" w:rsidR="00025FD6" w:rsidRPr="008D77AA" w:rsidRDefault="00025FD6" w:rsidP="00F07F5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8D77AA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        Проблема </w:t>
            </w:r>
            <w:r w:rsidRPr="008D77AA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инновационного педагогического опыта заключается в необходимости перестройки привычного видения учебного материала и самого учебного процесса на основе взаимного сотрудничества в ходе подготовки и проведения учебного занятия, усвоения учебного материала и его закрепления. </w:t>
            </w:r>
          </w:p>
          <w:p w14:paraId="7C807EE3" w14:textId="77777777" w:rsidR="00025FD6" w:rsidRPr="008D77AA" w:rsidRDefault="00025FD6" w:rsidP="00F07F5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8D77AA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       </w:t>
            </w:r>
            <w:r w:rsidRPr="008D77AA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Идея </w:t>
            </w:r>
            <w:r w:rsidRPr="008D77AA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педагогического опыта стала актуальной весной 2020 года при переходе на дистанционное обучение, когда технологическая карта «Реформы Ивана </w:t>
            </w:r>
            <w:r w:rsidRPr="008D77AA">
              <w:rPr>
                <w:rFonts w:eastAsia="Calibri"/>
                <w:i/>
                <w:color w:val="000000"/>
                <w:sz w:val="24"/>
                <w:szCs w:val="24"/>
                <w:lang w:val="en-US" w:eastAsia="en-US"/>
              </w:rPr>
              <w:t>IV</w:t>
            </w:r>
            <w:r w:rsidRPr="008D77AA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. Избранная рада»  была успешно применена. Обширный демонстрационный материал доступен, так как каждая современная школа оснащена в полной мере </w:t>
            </w:r>
            <w:r w:rsidRPr="008D77AA">
              <w:rPr>
                <w:rFonts w:eastAsia="Calibri"/>
                <w:i/>
                <w:color w:val="000000"/>
                <w:sz w:val="24"/>
                <w:szCs w:val="24"/>
                <w:lang w:val="en-US" w:eastAsia="en-US"/>
              </w:rPr>
              <w:t>it</w:t>
            </w:r>
            <w:r w:rsidRPr="008D77AA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-технологиями, что дает возможность изменить технологию видения учебных занятий, подачу нового материала. </w:t>
            </w:r>
          </w:p>
          <w:p w14:paraId="6890CEDC" w14:textId="77777777" w:rsidR="00025FD6" w:rsidRPr="008D77AA" w:rsidRDefault="00025FD6" w:rsidP="00F07F5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8D77AA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       В работе над инновационным педагогическим опытом, автор проявил умение и мастерство при применении данного опыта в работе. Технологическая карта «Реформы Ивана </w:t>
            </w:r>
            <w:r w:rsidRPr="008D77AA">
              <w:rPr>
                <w:rFonts w:eastAsia="Calibri"/>
                <w:i/>
                <w:color w:val="000000"/>
                <w:sz w:val="24"/>
                <w:szCs w:val="24"/>
                <w:lang w:val="en-US" w:eastAsia="en-US"/>
              </w:rPr>
              <w:t>IV</w:t>
            </w:r>
            <w:r w:rsidRPr="008D77AA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. Избранная рада»  была применена в повторительно-обобщающем курсе изучения истории России в 11 классе на основе программы «История России до 1914 года. Повторительно-обобщающий курс В.В. Кириллова; М.А. Бравиной, «Русское слово», ФГОС».  Педагогический опыт направлен на расширение изучаемого материала, благодаря наглядности, визуальности восприятия, красочности, что повышает учебный интерес у обучающихся. Автором  применены следующие методы: проблемное обучение, проектный метод, психодиагностические методы, практик ориентированная деятельность, анализ и самоанализ, самообучение (как индивидуальное, так и в группах). </w:t>
            </w:r>
          </w:p>
          <w:p w14:paraId="165CCCA1" w14:textId="77777777" w:rsidR="00025FD6" w:rsidRPr="008D77AA" w:rsidRDefault="00025FD6" w:rsidP="00F07F5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8D77AA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        Основной формой работы  автор использовала работу с презентацией, просмотр видеофрагментов, анализ исторической личности. Заполнение таблиц, работу в группах. </w:t>
            </w:r>
          </w:p>
          <w:p w14:paraId="0122F5E3" w14:textId="77777777" w:rsidR="00025FD6" w:rsidRPr="008D77AA" w:rsidRDefault="00025FD6" w:rsidP="00F07F5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8D77AA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        Новизной педагогического опыта явилось то, что усвоение школьниками материала принимает форму его индивидуального проекта, целью  которого становится развитие способностей к анализу, логическому мышлению. </w:t>
            </w:r>
          </w:p>
          <w:p w14:paraId="353FBE30" w14:textId="77777777" w:rsidR="00025FD6" w:rsidRPr="008D77AA" w:rsidRDefault="00025FD6" w:rsidP="00F07F5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8D77AA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         Авторским вкладом стало то, что учащиеся стали более внимательно изучать и транслировать свои знания по предмету. Визуальное восприятие на уроке, подкрепленное видеоматериалом и презентациями повысило уровень усвоения материала. </w:t>
            </w:r>
          </w:p>
          <w:p w14:paraId="696FFE2B" w14:textId="77777777" w:rsidR="00025FD6" w:rsidRPr="008D77AA" w:rsidRDefault="00025FD6" w:rsidP="00F07F54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8D77AA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        Педагогический опыт заслуживает высокой оценки и рекомендуется к внедрению в практику в общеобразовательные учреждения. </w:t>
            </w:r>
          </w:p>
          <w:p w14:paraId="0876AEF3" w14:textId="77777777" w:rsidR="00025FD6" w:rsidRPr="008D77AA" w:rsidRDefault="00025FD6" w:rsidP="00F07F54">
            <w:pPr>
              <w:spacing w:after="120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  <w:p w14:paraId="4C224AB0" w14:textId="77777777" w:rsidR="00025FD6" w:rsidRPr="00815876" w:rsidRDefault="00025FD6" w:rsidP="00F07F54">
            <w:pPr>
              <w:tabs>
                <w:tab w:val="left" w:pos="9350"/>
              </w:tabs>
              <w:rPr>
                <w:rFonts w:cs="Courier New"/>
                <w:sz w:val="24"/>
              </w:rPr>
            </w:pPr>
          </w:p>
        </w:tc>
      </w:tr>
    </w:tbl>
    <w:p w14:paraId="58331CB4" w14:textId="77777777" w:rsidR="0017274F" w:rsidRDefault="0017274F"/>
    <w:sectPr w:rsidR="00172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CE"/>
    <w:rsid w:val="000068B4"/>
    <w:rsid w:val="00025FD6"/>
    <w:rsid w:val="0017274F"/>
    <w:rsid w:val="003A76EF"/>
    <w:rsid w:val="00571A50"/>
    <w:rsid w:val="00737144"/>
    <w:rsid w:val="007F0710"/>
    <w:rsid w:val="00A0369A"/>
    <w:rsid w:val="00B67695"/>
    <w:rsid w:val="00D144E2"/>
    <w:rsid w:val="00D33451"/>
    <w:rsid w:val="00E01633"/>
    <w:rsid w:val="00E042CE"/>
    <w:rsid w:val="00F969FA"/>
    <w:rsid w:val="00FC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DF8A"/>
  <w15:chartTrackingRefBased/>
  <w15:docId w15:val="{FC792B30-859F-4189-8647-7F975E39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F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42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2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2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2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2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2C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2C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2C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2C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4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4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42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42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42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42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42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42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2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04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2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04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42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042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42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042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4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042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4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9</cp:revision>
  <dcterms:created xsi:type="dcterms:W3CDTF">2025-11-04T16:00:00Z</dcterms:created>
  <dcterms:modified xsi:type="dcterms:W3CDTF">2025-11-04T17:41:00Z</dcterms:modified>
</cp:coreProperties>
</file>