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E02B3">
      <w:pPr>
        <w:ind w:firstLine="720"/>
        <w:rPr>
          <w:rFonts w:hint="default" w:ascii="Times New Roman" w:hAnsi="Times New Roman" w:eastAsia="Google Sans" w:cs="Times New Roman"/>
          <w:b/>
          <w:bCs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b/>
          <w:bCs/>
          <w:color w:val="1F1F1F"/>
          <w:sz w:val="28"/>
          <w:szCs w:val="28"/>
          <w:lang w:val="ru-RU"/>
        </w:rPr>
        <w:t>Морозова</w:t>
      </w:r>
      <w:r>
        <w:rPr>
          <w:rFonts w:hint="default" w:ascii="Times New Roman" w:hAnsi="Times New Roman" w:eastAsia="Google Sans" w:cs="Times New Roman"/>
          <w:b/>
          <w:bCs/>
          <w:color w:val="1F1F1F"/>
          <w:sz w:val="28"/>
          <w:szCs w:val="28"/>
          <w:lang w:val="ru-RU"/>
        </w:rPr>
        <w:t xml:space="preserve"> Татьяна Викторовна, учитель русского языка и литературы МАОУ СОШ № 24</w:t>
      </w:r>
    </w:p>
    <w:p w14:paraId="0E15BCE5">
      <w:pPr>
        <w:ind w:firstLine="720"/>
        <w:rPr>
          <w:rFonts w:ascii="Times New Roman" w:hAnsi="Times New Roman" w:eastAsia="Google Sans" w:cs="Times New Roman"/>
          <w:b/>
          <w:bCs/>
          <w:color w:val="1F1F1F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eastAsia="Google Sans" w:cs="Times New Roman"/>
          <w:b/>
          <w:bCs/>
          <w:color w:val="1F1F1F"/>
          <w:sz w:val="28"/>
          <w:szCs w:val="28"/>
          <w:lang w:val="ru-RU"/>
        </w:rPr>
        <w:t>Рассказ Владимира Набокова «Подлец» в практике лингвокультурной медиации с билингвами</w:t>
      </w:r>
    </w:p>
    <w:p w14:paraId="521803F3">
      <w:pPr>
        <w:ind w:firstLine="720"/>
        <w:rPr>
          <w:rFonts w:ascii="Times New Roman" w:hAnsi="Times New Roman" w:eastAsia="Google Sans" w:cs="Times New Roman"/>
          <w:b/>
          <w:bCs/>
          <w:color w:val="1F1F1F"/>
          <w:sz w:val="28"/>
          <w:szCs w:val="28"/>
          <w:lang w:val="ru-RU"/>
        </w:rPr>
      </w:pPr>
    </w:p>
    <w:p w14:paraId="72FC4546">
      <w:pPr>
        <w:ind w:firstLine="720"/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b/>
          <w:bCs/>
          <w:color w:val="1F1F1F"/>
          <w:sz w:val="28"/>
          <w:szCs w:val="28"/>
          <w:lang w:val="ru-RU"/>
        </w:rPr>
        <w:t>Аннотация.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 В статье рассматривается лингвокультурный и лингводидактический потенциал рассказа Владимира Набокова «Подлец» в практике совместного чтения с билингвами, находящимися в активном поиске этической и социальной идентичности. Рассказ анализируется как текст с высоким потенциалом смыслового приращения, позволяющий работать с модусной рамкой, механизмами иронии, театрализацией действительности и деконструкцией традиционных для русской культуры концептов («честь», «дуэль», «подлость»). Особое внимание уделяется специфике лингвокультурной медиации в билингвальной аудитории, а также педагогическим стратегиям «медленного чтения» и обсуждения классической прозы русского зарубежья как ресурса развития эмоционального интеллекта, критического мышления и межкультурной компетентности.</w:t>
      </w:r>
    </w:p>
    <w:p w14:paraId="52FA9573">
      <w:pPr>
        <w:ind w:firstLine="720"/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b/>
          <w:bCs/>
          <w:color w:val="1F1F1F"/>
          <w:sz w:val="28"/>
          <w:szCs w:val="28"/>
          <w:lang w:val="ru-RU"/>
        </w:rPr>
        <w:t>Ключевые слова: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 лингвокультурная медиация, билингвы, Владимир Набоков, смысловое приращение, модусная рамка, чтение художественного текста, лингвокультурология, стратегия «медленного чтения», деконструкция концепта.</w:t>
      </w:r>
    </w:p>
    <w:p w14:paraId="724442E7">
      <w:pPr>
        <w:rPr>
          <w:rFonts w:ascii="Times New Roman" w:hAnsi="Times New Roman" w:eastAsia="Google Sans" w:cs="Times New Roman"/>
          <w:color w:val="1F1F1F"/>
          <w:sz w:val="28"/>
          <w:szCs w:val="28"/>
        </w:rPr>
      </w:pPr>
    </w:p>
    <w:p w14:paraId="3FC787DC">
      <w:pPr>
        <w:rPr>
          <w:rFonts w:ascii="Times New Roman" w:hAnsi="Times New Roman" w:eastAsia="Google Sans" w:cs="Times New Roman"/>
          <w:b/>
          <w:bCs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b/>
          <w:bCs/>
          <w:color w:val="1F1F1F"/>
          <w:sz w:val="28"/>
          <w:szCs w:val="28"/>
          <w:lang w:val="ru-RU"/>
        </w:rPr>
        <w:t>Введение</w:t>
      </w:r>
    </w:p>
    <w:p w14:paraId="64B3EB25">
      <w:pPr>
        <w:ind w:firstLine="720"/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>Современные читатели, владеющие несколькими языками, нередко воспринимают русскую классическую литературу как слишком далёкую — по языку, культурному коду и форме подачи. При этом для билингвов особенно актуальны темы социальной репутации, успеха, трусости и чести, вопрос соотношения «настоящего» и «фейкового» — в поведении, в образе, в публичной идентичности.</w:t>
      </w:r>
    </w:p>
    <w:p w14:paraId="6550DDAE">
      <w:pPr>
        <w:ind w:firstLine="720"/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>В этом контексте обращение к малой прозе русского зарубежья, в частности к рассказу Владимира Набокова «Подлец», оказывается методически оправданным. Текст компактен по объему, сюжетно понятен на поверхностном уровне (история о дуэли и бегстве), но при этом обладает высокой семантической плотностью. Он легко может быть прочитан как «старомодный» анекдот о трусе — и именно поэтому опасен для поверхностного прочтения.</w:t>
      </w:r>
    </w:p>
    <w:p w14:paraId="6A5543FC">
      <w:pPr>
        <w:ind w:firstLine="720"/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>Для билингвов данный рассказ представляет особую ценность. С одной стороны, он стилистически сложнее привычной массовой прозы, но при опоре на медиатора и стратегию замедленного чтения становится доступен и увлекателен; с другой — он требует активной интерпретации, работы с иронией, метафорикой, модусной рамкой и специфическими лингвокультурными кодами русской эмиграции. Особенно интересен текст как тем, кто имеет минимальный опыт чтения Набокова и русской классики, так и тем, кто уже знаком с каноническими дуэльными сюжетами (Пушкин, Лермонтов) и готов к их деконструкции.</w:t>
      </w:r>
    </w:p>
    <w:p w14:paraId="641E0A57">
      <w:pPr>
        <w:ind w:firstLine="360"/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Таким образом, </w:t>
      </w:r>
      <w:r>
        <w:rPr>
          <w:rFonts w:ascii="Times New Roman" w:hAnsi="Times New Roman" w:eastAsia="Google Sans" w:cs="Times New Roman"/>
          <w:b/>
          <w:bCs/>
          <w:color w:val="1F1F1F"/>
          <w:sz w:val="28"/>
          <w:szCs w:val="28"/>
          <w:lang w:val="ru-RU"/>
        </w:rPr>
        <w:t>актуальность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 исследования определяется несколькими факторами:</w:t>
      </w:r>
    </w:p>
    <w:p w14:paraId="6F7F85BE">
      <w:pPr>
        <w:numPr>
          <w:ilvl w:val="0"/>
          <w:numId w:val="1"/>
        </w:numP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>потребностью в методиках, которые «приближают» сложный классический текст к билингву;</w:t>
      </w:r>
    </w:p>
    <w:p w14:paraId="0A3AB792">
      <w:pPr>
        <w:numPr>
          <w:ilvl w:val="0"/>
          <w:numId w:val="1"/>
        </w:numP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>потенциалом рассказа для формирования интерпретативного и критического чтения;</w:t>
      </w:r>
    </w:p>
    <w:p w14:paraId="09A12519">
      <w:pPr>
        <w:numPr>
          <w:ilvl w:val="0"/>
          <w:numId w:val="1"/>
        </w:numP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>возможностями лингвокультурной медиации в билингвальной среде через сопоставление «высоких» культурных концептов с актуальными социальными практиками (репутация, «фейковость», социальный престиж).</w:t>
      </w:r>
    </w:p>
    <w:p w14:paraId="0618E762">
      <w:pPr>
        <w:ind w:firstLine="360"/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b/>
          <w:bCs/>
          <w:color w:val="1F1F1F"/>
          <w:sz w:val="28"/>
          <w:szCs w:val="28"/>
          <w:lang w:val="ru-RU"/>
        </w:rPr>
        <w:t>Объектом исследования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 является процесс совместного чтения и интерпретации художественного текста в билингвальной аудитории.</w:t>
      </w:r>
    </w:p>
    <w:p w14:paraId="04715008">
      <w:pPr>
        <w:ind w:firstLine="360"/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b/>
          <w:bCs/>
          <w:color w:val="1F1F1F"/>
          <w:sz w:val="28"/>
          <w:szCs w:val="28"/>
          <w:lang w:val="ru-RU"/>
        </w:rPr>
        <w:t>Предметом исследования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 выступает лингвокультурный и смысловой потенциал рассказа В. Набокова «Подлец» в практике аналитического чтения с билингвами.</w:t>
      </w:r>
    </w:p>
    <w:p w14:paraId="0A17E394">
      <w:pPr>
        <w:ind w:firstLine="360"/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b/>
          <w:bCs/>
          <w:color w:val="1F1F1F"/>
          <w:sz w:val="28"/>
          <w:szCs w:val="28"/>
          <w:lang w:val="ru-RU"/>
        </w:rPr>
        <w:t>Цель исследования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 — выявить лингводидактические и лингвокультурные возможности рассказа Владимира Набокова «Подлец» при работе с билингвами.</w:t>
      </w:r>
    </w:p>
    <w:p w14:paraId="51825FBC">
      <w:pPr>
        <w:ind w:firstLine="360"/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Для достижения цели ставятся следующие </w:t>
      </w:r>
      <w:r>
        <w:rPr>
          <w:rFonts w:ascii="Times New Roman" w:hAnsi="Times New Roman" w:eastAsia="Google Sans" w:cs="Times New Roman"/>
          <w:b/>
          <w:bCs/>
          <w:color w:val="1F1F1F"/>
          <w:sz w:val="28"/>
          <w:szCs w:val="28"/>
          <w:lang w:val="ru-RU"/>
        </w:rPr>
        <w:t>задачи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>: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br w:type="textWrapping"/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     – определить специфику лингвокультурной медиации при чтении текста, играющего с каноном дуэльного сюжета;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br w:type="textWrapping"/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     – проанализировать модусную рамку рассказа и механизм смыслового приращения (от героического к жалкому);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br w:type="textWrapping"/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     – показать, какие когнитивные и ценностные эффекты формируются у билингвов при деконструкции концептов «честь», «дуэль», «подлость»;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br w:type="textWrapping"/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     – выявить педагогические стратегии работы с ироническим и «высокостилевым» текстом русской эмиграции;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br w:type="textWrapping"/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     – обосновать значимость рассказа для развития интерпретативного чтения и эмоционального интеллекта.</w:t>
      </w:r>
    </w:p>
    <w:p w14:paraId="119F8744">
      <w:pPr>
        <w:ind w:firstLine="720"/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>Целевая аудитория — билингвы, владеющие русским и одним или несколькими другими языками на функциональном уровне, с интересом к психологической прозе, иронии, сюжетам о «мнимости» личности и социального успеха.</w:t>
      </w:r>
    </w:p>
    <w:p w14:paraId="3014F89F">
      <w:pPr>
        <w:ind w:firstLine="720"/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>Формат работы — совместное аналитическое чтение с элементами литературной мастерской: замедленное чтение отдельных фрагментов, реконструкция модусной рамки, обсуждение дуэльного кода русской культуры и его деконструкции, стилистические эксперименты (пересказ сцен в иных регистровых модусах, в языке современных медиа и повседневного общения). Язык работы — преимущественно русский, с возможным привлечением англоязычных контекстов (биография Набокова, его двуязычие, сравнение с англоязычными моделями чести и репутации).</w:t>
      </w:r>
    </w:p>
    <w:p w14:paraId="2F92B917">
      <w:pPr>
        <w:ind w:firstLine="720"/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>Лингвокультурная медиация в данном случае предполагает не только «объяснение реалий русской эмиграции», но и выстраивание смыслового моста между набоковским текстом и опытом билингва. Читатель не просто погружается в чуждую эпоху «высоких жестов», но постоянно соотносит её с собственными представлениями о честности, храбрости, публичном образе и «фейковости» поведения.</w:t>
      </w:r>
    </w:p>
    <w:p w14:paraId="2AD36C37">
      <w:pPr>
        <w:rPr>
          <w:rFonts w:ascii="Times New Roman" w:hAnsi="Times New Roman" w:eastAsia="Google Sans" w:cs="Times New Roman"/>
          <w:color w:val="1F1F1F"/>
          <w:sz w:val="28"/>
          <w:szCs w:val="28"/>
        </w:rPr>
      </w:pPr>
    </w:p>
    <w:p w14:paraId="0BEB510D">
      <w:pPr>
        <w:jc w:val="center"/>
        <w:rPr>
          <w:rFonts w:ascii="Times New Roman" w:hAnsi="Times New Roman" w:eastAsia="Google Sans" w:cs="Times New Roman"/>
          <w:b/>
          <w:bCs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b/>
          <w:bCs/>
          <w:color w:val="1F1F1F"/>
          <w:sz w:val="28"/>
          <w:szCs w:val="28"/>
          <w:lang w:val="ru-RU"/>
        </w:rPr>
        <w:t>Модусная рамка и деконструкция концепта «честь»</w:t>
      </w:r>
    </w:p>
    <w:p w14:paraId="5D9115BF">
      <w:pP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>Рассказ «Подлец» погружает читателя в атмосферу русской эмиграции в Берлине, где память о дореволюционном кодексе чести сосуществует с повседневной неустроенностью. Лингвистически и культурно эта двойственность подчеркивается смешением бытовых деталей («пенсне», «визитка», светские манеры) и глубокой психологической рефлексии героя.</w:t>
      </w:r>
    </w:p>
    <w:p w14:paraId="21FC18CE">
      <w:pP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На первом уровне Набоков выстраивает узнаваемую для русской традиции модусную рамку дуэльной истории. Дуэль в русской литературе </w:t>
      </w:r>
      <w:r>
        <w:rPr>
          <w:rFonts w:ascii="Times New Roman" w:hAnsi="Times New Roman" w:eastAsia="Google Sans" w:cs="Times New Roman"/>
          <w:color w:val="1F1F1F"/>
          <w:sz w:val="28"/>
          <w:szCs w:val="28"/>
        </w:rPr>
        <w:t>XIX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 века — сакрализованный сюжет: Пушкин и Лермонтов формируют культурную матрицу, где «честь» связана с готовностью умереть за имя, репутацию, достоинство. Набоков сознательно заимствует эту рамку — герой Берг позиционирует себя в модусе «оскорбленного достоинства», использует лексику высокого регистра, оперирует жестами, мимикрирующими под благородную решимость.</w:t>
      </w:r>
    </w:p>
    <w:p w14:paraId="5F505733">
      <w:pP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>Однако уже в начальных сценах включается иронический механизм. Через подробности поведения Берга — неловкие жесты, излишнюю суетливость, театральность поз и фраз — текст выстраивает разрыв между «словом» и «сущностью» героя. Для билингвального читателя это важная точка входа: модус внешней «героичности» начинает трескаться, обнажая «мнимость» личности.</w:t>
      </w:r>
    </w:p>
    <w:p w14:paraId="282E1A7E">
      <w:pP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>Финал рассказа — бегство Берга от дуэли — превращается в момент максимального смыслового приращения. Здесь происходит последовательная деконструкция концепта «честь»:</w:t>
      </w:r>
    </w:p>
    <w:p w14:paraId="0BBB1AE2">
      <w:pP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i/>
          <w:iCs/>
          <w:color w:val="1F1F1F"/>
          <w:sz w:val="28"/>
          <w:szCs w:val="28"/>
          <w:lang w:val="ru-RU"/>
        </w:rPr>
        <w:t>Смысл 1 (традиционный).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 Честь как готовность умереть за имя, соответствие внутреннего и внешнего. Этот слой легко узнается через отсылки к классике и массовой культуре.</w:t>
      </w:r>
    </w:p>
    <w:p w14:paraId="2403120A">
      <w:pP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i/>
          <w:iCs/>
          <w:color w:val="1F1F1F"/>
          <w:sz w:val="28"/>
          <w:szCs w:val="28"/>
          <w:lang w:val="ru-RU"/>
        </w:rPr>
        <w:t>Смысл 2 (набоковский).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 Честь как пустая форма, как риторическая маска, за которой скрывается физиологический страх смерти и элементарная трусость. Слова и позы оказываются театральной декорацией.</w:t>
      </w:r>
    </w:p>
    <w:p w14:paraId="24D7DD7B">
      <w:pP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i/>
          <w:iCs/>
          <w:color w:val="1F1F1F"/>
          <w:sz w:val="28"/>
          <w:szCs w:val="28"/>
          <w:lang w:val="ru-RU"/>
        </w:rPr>
        <w:t>Смысл 3 (итоговое приращение).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 Подлость не сводится к активному злу или предательству; она понимается как несоответствие взятой на себя роли, как «мнимость» личности, неспособной выдержать собственную маску. Герой подл не потому, что «боится смерти», а потому, что строит себя как носителя чести, не будучи им.</w:t>
      </w:r>
    </w:p>
    <w:p w14:paraId="085874FB">
      <w:pP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>Для билингвов этот анализ значим в контексте обсуждения «фейковости» и подлинности. Модус «дуэлянта» разбивается о модус «беглеца», заставляя переосмыслить сами основания социального престижа: кого мы считаем героем, почему верим позе, а не поступку, и как «культурный сценарий» (дуэль, честь, благородство) может служить прикрытием для элементарного страха.</w:t>
      </w:r>
    </w:p>
    <w:p w14:paraId="448C64A0">
      <w:pP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>Лингвокультурная медиация строится здесь вокруг вопросов: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br w:type="textWrapping"/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     – что именно в поведении Берга маркирует несоответствие между заявленной и реальной идентичностью?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br w:type="textWrapping"/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     – как культурный код дуэли работает на создание ложного ожидания?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br w:type="textWrapping"/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     – чем набоковская ирония отличается от прямого морального осуждения, и почему это важно для интерпретативного чтения?</w:t>
      </w:r>
    </w:p>
    <w:p w14:paraId="027765F8">
      <w:pP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>Методические стратегии «медленного чтения» и работы с модусами</w:t>
      </w:r>
    </w:p>
    <w:p w14:paraId="398F7F82">
      <w:pPr>
        <w:rPr>
          <w:rFonts w:ascii="Times New Roman" w:hAnsi="Times New Roman" w:eastAsia="Google Sans" w:cs="Times New Roman"/>
          <w:color w:val="1F1F1F"/>
          <w:sz w:val="28"/>
          <w:szCs w:val="28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Работа с рассказом Набокова требует замедления чтения и систематического предъявления модусной рамки. </w:t>
      </w:r>
      <w:r>
        <w:rPr>
          <w:rFonts w:ascii="Times New Roman" w:hAnsi="Times New Roman" w:eastAsia="Google Sans" w:cs="Times New Roman"/>
          <w:color w:val="1F1F1F"/>
          <w:sz w:val="28"/>
          <w:szCs w:val="28"/>
        </w:rPr>
        <w:t>Целесообразно выстраивать анализ поэтапно:</w:t>
      </w:r>
    </w:p>
    <w:p w14:paraId="511B82B5">
      <w:pPr>
        <w:numPr>
          <w:ilvl w:val="0"/>
          <w:numId w:val="2"/>
        </w:numP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>Чтение фрагментами с фиксацией ожиданий.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br w:type="textWrapping"/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>На первом этапе читателям предлагается прочитать завязку и сформулировать ожидания: «кто этот герой?», «что за конфликт?», «какого финала вы ждёте?». Это позволяет зафиксировать первичную модусную установку на «героический» дуэльный сюжет.</w:t>
      </w:r>
    </w:p>
    <w:p w14:paraId="27723A7D">
      <w:pPr>
        <w:numPr>
          <w:ilvl w:val="0"/>
          <w:numId w:val="2"/>
        </w:numP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>Поиск «трещин» в модусе.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br w:type="textWrapping"/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>На следующем этапе участники отслеживают моменты, когда Берг «срывается» — жесты, мимика, глаголы движения, словесные оговорки. Задача — увидеть, как текст постепенно подводит к разоблачению модуса, не называя героя «подлецом» напрямую.</w:t>
      </w:r>
    </w:p>
    <w:p w14:paraId="643A93FE">
      <w:pPr>
        <w:numPr>
          <w:ilvl w:val="0"/>
          <w:numId w:val="2"/>
        </w:numP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>Деконструкция концептов.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br w:type="textWrapping"/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>Отдельный блок работы посвящён обсуждению концептов «честь», «дуэль», «подлость» в русской культурной традиции и в современных социальных кодах (репутация, «отмена», токсичная мужественность, публичный образ). Через сравнение показывается, как набоковский текст вскрывает «пустые формы» и ролевую игру.</w:t>
      </w:r>
    </w:p>
    <w:p w14:paraId="364C5529">
      <w:pPr>
        <w:numPr>
          <w:ilvl w:val="0"/>
          <w:numId w:val="2"/>
        </w:numP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>Стилистический эксперимент.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br w:type="textWrapping"/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>Пересказ ключевых сцен (вызов на дуэль, внутренний монолог Берга, момент бегства) в современном разговорном регистре или в языке цифровых коммуникаций. Это позволяет: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br w:type="textWrapping"/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     – выявить устойчивые модели поведения (архетипы), которые не зависят от эпохи;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br w:type="textWrapping"/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     – увидеть искусственность высоких поз, когда они переносятся в другой регистр;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br w:type="textWrapping"/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     – обсудить, как язык конструирует «героизм» или «подлость».</w:t>
      </w:r>
    </w:p>
    <w:p w14:paraId="296BD03A">
      <w:pPr>
        <w:numPr>
          <w:ilvl w:val="0"/>
          <w:numId w:val="2"/>
        </w:numP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>Сравнительная медиация.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br w:type="textWrapping"/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Полезно сопоставить набоковский сюжет с актуальными для билингвов понятиями публичной «нерукопожатности» и </w:t>
      </w:r>
      <w:r>
        <w:rPr>
          <w:rFonts w:ascii="Times New Roman" w:hAnsi="Times New Roman" w:eastAsia="Google Sans" w:cs="Times New Roman"/>
          <w:color w:val="1F1F1F"/>
          <w:sz w:val="28"/>
          <w:szCs w:val="28"/>
        </w:rPr>
        <w:t>cancel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Google Sans" w:cs="Times New Roman"/>
          <w:color w:val="1F1F1F"/>
          <w:sz w:val="28"/>
          <w:szCs w:val="28"/>
        </w:rPr>
        <w:t>culture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>: в чём параллели и различия? Как работает социальное осуждение в эмигрантской среде и в современных медиапространствах?</w:t>
      </w:r>
    </w:p>
    <w:p w14:paraId="281FFBBE">
      <w:pP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>Так выстраивается не только понимание набоковской иронии, но и более широкий навык: читатели учатся замечать разрыв между декларируемыми ценностями и реальными действиями — в литературе, медиа, повседневности.</w:t>
      </w:r>
    </w:p>
    <w:p w14:paraId="6E09641D">
      <w:pPr>
        <w:rPr>
          <w:rFonts w:ascii="Times New Roman" w:hAnsi="Times New Roman" w:eastAsia="Google Sans" w:cs="Times New Roman"/>
          <w:color w:val="1F1F1F"/>
          <w:sz w:val="28"/>
          <w:szCs w:val="28"/>
        </w:rPr>
      </w:pPr>
    </w:p>
    <w:p w14:paraId="7952A04C">
      <w:pPr>
        <w:jc w:val="center"/>
        <w:rPr>
          <w:rFonts w:ascii="Times New Roman" w:hAnsi="Times New Roman" w:eastAsia="Google Sans" w:cs="Times New Roman"/>
          <w:b/>
          <w:bCs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b/>
          <w:bCs/>
          <w:color w:val="1F1F1F"/>
          <w:sz w:val="28"/>
          <w:szCs w:val="28"/>
          <w:lang w:val="ru-RU"/>
        </w:rPr>
        <w:t>Заключение</w:t>
      </w:r>
    </w:p>
    <w:p w14:paraId="71DC75DF">
      <w:pP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>Лингвокультурный и лингводидактический анализ рассказа Владимира Набокова «Подлец» в формате совместного «медленного чтения» с билингвами демонстрирует, что этот относительно короткий текст обладает значительным потенциалом смыслового приращения. Он позволяет: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br w:type="textWrapping"/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     – проследить смещение модусной рамки от героического к комически-жалкому;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br w:type="textWrapping"/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     – разобрать механизмы иронии и театрализации, через которые вскрывается «мнимость» личности;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br w:type="textWrapping"/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     – деконструировать устойчивые культурные концепты «честь», «дуэль», «подлость» и сопоставить их с современными кодами подлинности и репутации.</w:t>
      </w:r>
    </w:p>
    <w:p w14:paraId="31A2EC5D">
      <w:pP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>В такой работе билингвы осваивают медиацию не только языковую, но и культурно-смысловую: учатся «переводить» код классической русской прозы на язык собственного опыта, объяснять подтекст, интонацию, ролевую игру, выстраивать аргументацию на текстовых деталях и различать, где заканчивается интерпретация и начинается произвольное домысливание.</w:t>
      </w:r>
    </w:p>
    <w:p w14:paraId="52528B78">
      <w:pP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Методически это способствует формированию ключевых навыков </w:t>
      </w:r>
      <w:r>
        <w:rPr>
          <w:rFonts w:ascii="Times New Roman" w:hAnsi="Times New Roman" w:eastAsia="Google Sans" w:cs="Times New Roman"/>
          <w:color w:val="1F1F1F"/>
          <w:sz w:val="28"/>
          <w:szCs w:val="28"/>
        </w:rPr>
        <w:t>XXI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 века: критического и интерпретативного чтения, межкультурной компетентности, эмоциональной саморегуляции и эмпатии, способности различать риторику и реальное поведение. Педагогически такая работа создаёт пространство доверия и ответственного обсуждения, где разоблачается не только подлость литературного героя, но и механизмы социальной «игры в героизм» в современном мире.</w:t>
      </w:r>
    </w:p>
    <w:p w14:paraId="43BD52B6">
      <w:pP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>Главным образовательным результатом становится сдвиг от «старомодного сюжета о дуэли» к зрелой работе со сложной модусной структурой и этическими нюансами. Читатели</w:t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noBreakHyphen/>
      </w: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>билингвы перестают бояться «сложного» классического текста, получают языковые и культурные инструменты для его прояснения и выносят из чтения не только расширенный культурный контекст, но и устойчивую привычку замечать несоответствие между словом и делом — и задаваться вопросом, кто перед ними стоит и насколько ему можно доверять.</w:t>
      </w:r>
    </w:p>
    <w:p w14:paraId="511ADAF8">
      <w:pPr>
        <w:rPr>
          <w:rFonts w:ascii="Times New Roman" w:hAnsi="Times New Roman" w:eastAsia="Google Sans" w:cs="Times New Roman"/>
          <w:color w:val="1F1F1F"/>
          <w:sz w:val="28"/>
          <w:szCs w:val="28"/>
        </w:rPr>
      </w:pPr>
    </w:p>
    <w:p w14:paraId="0E4F478B">
      <w:pPr>
        <w:jc w:val="center"/>
        <w:rPr>
          <w:rFonts w:ascii="Times New Roman" w:hAnsi="Times New Roman" w:eastAsia="Google Sans" w:cs="Times New Roman"/>
          <w:b/>
          <w:bCs/>
          <w:color w:val="1F1F1F"/>
          <w:sz w:val="28"/>
          <w:szCs w:val="28"/>
        </w:rPr>
      </w:pPr>
      <w:r>
        <w:rPr>
          <w:rFonts w:ascii="Times New Roman" w:hAnsi="Times New Roman" w:eastAsia="Google Sans" w:cs="Times New Roman"/>
          <w:b/>
          <w:bCs/>
          <w:color w:val="1F1F1F"/>
          <w:sz w:val="28"/>
          <w:szCs w:val="28"/>
        </w:rPr>
        <w:t>Список литературы</w:t>
      </w:r>
    </w:p>
    <w:p w14:paraId="1278651C">
      <w:pPr>
        <w:numPr>
          <w:ilvl w:val="0"/>
          <w:numId w:val="3"/>
        </w:numP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>Набоков В. В. Собрание сочинений русского периода в 5 т. СПб.: Симпозиум, 2004.</w:t>
      </w:r>
    </w:p>
    <w:p w14:paraId="2FCB8CD5">
      <w:pPr>
        <w:numPr>
          <w:ilvl w:val="0"/>
          <w:numId w:val="3"/>
        </w:numPr>
        <w:rPr>
          <w:rFonts w:ascii="Times New Roman" w:hAnsi="Times New Roman" w:eastAsia="Google Sans" w:cs="Times New Roman"/>
          <w:color w:val="1F1F1F"/>
          <w:sz w:val="28"/>
          <w:szCs w:val="28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Бахтин М. М. Эстетика словесного творчества. </w:t>
      </w:r>
      <w:r>
        <w:rPr>
          <w:rFonts w:ascii="Times New Roman" w:hAnsi="Times New Roman" w:eastAsia="Google Sans" w:cs="Times New Roman"/>
          <w:color w:val="1F1F1F"/>
          <w:sz w:val="28"/>
          <w:szCs w:val="28"/>
        </w:rPr>
        <w:t>М.: Искусство, 1979.</w:t>
      </w:r>
    </w:p>
    <w:p w14:paraId="2EE6A0EB">
      <w:pPr>
        <w:numPr>
          <w:ilvl w:val="0"/>
          <w:numId w:val="3"/>
        </w:numPr>
        <w:rPr>
          <w:rFonts w:ascii="Times New Roman" w:hAnsi="Times New Roman" w:eastAsia="Google Sans" w:cs="Times New Roman"/>
          <w:color w:val="1F1F1F"/>
          <w:sz w:val="28"/>
          <w:szCs w:val="28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Долинин А. А. Истинная жизнь писателя Сирина. </w:t>
      </w:r>
      <w:r>
        <w:rPr>
          <w:rFonts w:ascii="Times New Roman" w:hAnsi="Times New Roman" w:eastAsia="Google Sans" w:cs="Times New Roman"/>
          <w:color w:val="1F1F1F"/>
          <w:sz w:val="28"/>
          <w:szCs w:val="28"/>
        </w:rPr>
        <w:t>СПб.: Академический проект, 2004.</w:t>
      </w:r>
    </w:p>
    <w:p w14:paraId="60B83388">
      <w:pPr>
        <w:numPr>
          <w:ilvl w:val="0"/>
          <w:numId w:val="3"/>
        </w:numPr>
        <w:rPr>
          <w:rFonts w:ascii="Times New Roman" w:hAnsi="Times New Roman" w:eastAsia="Google Sans" w:cs="Times New Roman"/>
          <w:color w:val="1F1F1F"/>
          <w:sz w:val="28"/>
          <w:szCs w:val="28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Лотман Ю. М. Статьи по типологии культуры. </w:t>
      </w:r>
      <w:r>
        <w:rPr>
          <w:rFonts w:ascii="Times New Roman" w:hAnsi="Times New Roman" w:eastAsia="Google Sans" w:cs="Times New Roman"/>
          <w:color w:val="1F1F1F"/>
          <w:sz w:val="28"/>
          <w:szCs w:val="28"/>
        </w:rPr>
        <w:t>СПб.: Академический проект, 2002.</w:t>
      </w:r>
    </w:p>
    <w:p w14:paraId="159DD248">
      <w:pPr>
        <w:numPr>
          <w:ilvl w:val="0"/>
          <w:numId w:val="3"/>
        </w:numPr>
        <w:rPr>
          <w:rFonts w:ascii="Times New Roman" w:hAnsi="Times New Roman" w:eastAsia="Google Sans" w:cs="Times New Roman"/>
          <w:color w:val="1F1F1F"/>
          <w:sz w:val="28"/>
          <w:szCs w:val="28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  <w:lang w:val="ru-RU"/>
        </w:rPr>
        <w:t xml:space="preserve">Хализев В. Е. Теория литературы. </w:t>
      </w:r>
      <w:r>
        <w:rPr>
          <w:rFonts w:ascii="Times New Roman" w:hAnsi="Times New Roman" w:eastAsia="Google Sans" w:cs="Times New Roman"/>
          <w:color w:val="1F1F1F"/>
          <w:sz w:val="28"/>
          <w:szCs w:val="28"/>
        </w:rPr>
        <w:t>М.: Высшая школа, 2002.</w:t>
      </w:r>
    </w:p>
    <w:p w14:paraId="6298E0E2">
      <w:pPr>
        <w:numPr>
          <w:ilvl w:val="0"/>
          <w:numId w:val="3"/>
        </w:numPr>
        <w:rPr>
          <w:rFonts w:ascii="Times New Roman" w:hAnsi="Times New Roman" w:eastAsia="Google Sans" w:cs="Times New Roman"/>
          <w:color w:val="1F1F1F"/>
          <w:sz w:val="28"/>
          <w:szCs w:val="28"/>
        </w:rPr>
      </w:pPr>
      <w:r>
        <w:rPr>
          <w:rFonts w:ascii="Times New Roman" w:hAnsi="Times New Roman" w:eastAsia="Google Sans" w:cs="Times New Roman"/>
          <w:color w:val="1F1F1F"/>
          <w:sz w:val="28"/>
          <w:szCs w:val="28"/>
        </w:rPr>
        <w:t>Boyd B. Vladimir Nabokov: The Russian Years. Princeton University Press, 1990.</w:t>
      </w:r>
    </w:p>
    <w:p w14:paraId="00000027">
      <w:pPr>
        <w:rPr>
          <w:rFonts w:ascii="Times New Roman" w:hAnsi="Times New Roman" w:cs="Times New Roman"/>
          <w:sz w:val="28"/>
          <w:szCs w:val="28"/>
        </w:rPr>
      </w:pPr>
    </w:p>
    <w:sectPr>
      <w:pgSz w:w="12240" w:h="15840"/>
      <w:pgMar w:top="1440" w:right="1440" w:bottom="1440" w:left="1440" w:header="0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1" w:fontKey="{9CC7F1EC-E513-4AFD-9BA4-2C02CD183ED3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9897670B-B9C5-46B7-B526-4B4D16E2A38E}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A2066D4A-66E8-4902-B382-9D2552510BA7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4" w:fontKey="{5A0428F2-CE20-4B17-9571-E2B2F94244BD}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  <w:embedRegular r:id="rId5" w:fontKey="{7514B4A6-4E50-478E-B46A-C6302A151CEF}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  <w:embedRegular r:id="rId6" w:fontKey="{AB850C10-5BFF-4552-991F-B575CAB5C029}"/>
  </w:font>
  <w:font w:name="Google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7" w:fontKey="{06C5395A-D11E-45B8-B4AD-6CDC56BBA2A3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8" w:fontKey="{66B53336-92EB-4A0D-9348-458B817CB34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090E87"/>
    <w:multiLevelType w:val="multilevel"/>
    <w:tmpl w:val="58090E8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6F026294"/>
    <w:multiLevelType w:val="multilevel"/>
    <w:tmpl w:val="6F02629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78925BFF"/>
    <w:multiLevelType w:val="multilevel"/>
    <w:tmpl w:val="78925BF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1"/>
  <w:embedTrueTypeFonts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137"/>
    <w:rsid w:val="00556803"/>
    <w:rsid w:val="009C1137"/>
    <w:rsid w:val="00A633CE"/>
    <w:rsid w:val="00D44142"/>
    <w:rsid w:val="00DC4CAA"/>
    <w:rsid w:val="1C344918"/>
    <w:rsid w:val="50E5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</w:pPr>
    <w:rPr>
      <w:rFonts w:ascii="Arial" w:hAnsi="Arial" w:eastAsia="Arial" w:cs="Arial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240" w:after="240"/>
      <w:outlineLvl w:val="0"/>
    </w:pPr>
    <w:rPr>
      <w:b/>
      <w:bCs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225" w:after="225"/>
      <w:outlineLvl w:val="1"/>
    </w:pPr>
    <w:rPr>
      <w:b/>
      <w:bCs/>
      <w:sz w:val="36"/>
      <w:szCs w:val="36"/>
    </w:rPr>
  </w:style>
  <w:style w:type="paragraph" w:styleId="4">
    <w:name w:val="heading 3"/>
    <w:basedOn w:val="1"/>
    <w:next w:val="1"/>
    <w:unhideWhenUsed/>
    <w:qFormat/>
    <w:uiPriority w:val="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240" w:after="240"/>
      <w:outlineLvl w:val="2"/>
    </w:pPr>
    <w:rPr>
      <w:b/>
      <w:bCs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255" w:after="255"/>
      <w:outlineLvl w:val="3"/>
    </w:pPr>
    <w:rPr>
      <w:b/>
      <w:bCs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255" w:after="255"/>
      <w:outlineLvl w:val="4"/>
    </w:pPr>
    <w:rPr>
      <w:b/>
      <w:bCs/>
      <w:sz w:val="18"/>
      <w:szCs w:val="18"/>
    </w:rPr>
  </w:style>
  <w:style w:type="paragraph" w:styleId="7">
    <w:name w:val="heading 6"/>
    <w:basedOn w:val="1"/>
    <w:next w:val="1"/>
    <w:semiHidden/>
    <w:unhideWhenUsed/>
    <w:qFormat/>
    <w:uiPriority w:val="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8">
    <w:name w:val="Default Paragraph Font"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10"/>
    <w:pPr>
      <w:keepNext/>
      <w:keepLines/>
      <w:spacing w:before="480" w:after="120"/>
    </w:pPr>
    <w:rPr>
      <w:b/>
      <w:bCs/>
      <w:sz w:val="72"/>
      <w:szCs w:val="72"/>
    </w:rPr>
  </w:style>
  <w:style w:type="paragraph" w:styleId="11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customStyle="1" w:styleId="12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1819</Words>
  <Characters>10372</Characters>
  <Lines>86</Lines>
  <Paragraphs>24</Paragraphs>
  <TotalTime>2</TotalTime>
  <ScaleCrop>false</ScaleCrop>
  <LinksUpToDate>false</LinksUpToDate>
  <CharactersWithSpaces>12167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2026-01-15T19:16:00Z</dcterms:created>
  <dc:creator>Huawei</dc:creator>
  <cp:lastModifiedBy>Ярали Гаджисулт�</cp:lastModifiedBy>
  <dcterms:modified xsi:type="dcterms:W3CDTF">2026-03-20T08:16:07Z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D2C7EAE6F4704158B9D81C5EFAF19A46_13</vt:lpwstr>
  </property>
</Properties>
</file>