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8" w:rsidRDefault="002D3A20">
      <w:pPr>
        <w:tabs>
          <w:tab w:val="right" w:leader="underscore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ИНФОРМАЦИОННАЯ КАРТА</w:t>
      </w:r>
    </w:p>
    <w:p w:rsidR="00102918" w:rsidRDefault="002D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результативного инновационного педагогического опыта</w:t>
      </w:r>
    </w:p>
    <w:p w:rsidR="00102918" w:rsidRDefault="001029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7037"/>
      </w:tblGrid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center"/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</w:pPr>
            <w:r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  <w:t xml:space="preserve"> </w:t>
            </w:r>
          </w:p>
          <w:p w:rsidR="00102918" w:rsidRDefault="002D3A20">
            <w:pPr>
              <w:spacing w:after="0" w:line="240" w:lineRule="auto"/>
              <w:jc w:val="center"/>
            </w:pPr>
            <w:r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spacing w:val="20"/>
                <w:sz w:val="24"/>
              </w:rPr>
              <w:t>ИНФОРМАЦИОННАЯ КАРТА РИПО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Общие сведения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 И. О.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Ольга Кондратьевна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13.01.1960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КГУ, физика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89034106225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mail-olga-2009@rambler.ru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МБОУ гимназия 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44 имени Михаила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Тальского</w:t>
            </w:r>
            <w:proofErr w:type="spellEnd"/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ОО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350075 г. Краснодар, ул.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Старокубанская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, 127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учитель физики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19 лет,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высшая</w:t>
            </w:r>
            <w:proofErr w:type="gramEnd"/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РИПО на сайте (в блоге) автора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</w:rPr>
                <w:t>https://sites.google.com/site/najdaolga/</w:t>
              </w:r>
            </w:hyperlink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РИПО на сайте ОО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school44@kubannet.ru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Сущностные характеристики опыта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Тема РИПО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урок «Наблюдение и регистрация элементарных частиц»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Предметная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область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 технологии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Идея изменений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воспитательного процесса, другие особенности изменений)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Данная работа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условиях дистанционного обучения учащихся является передовым педагогическим опытом - это опыт, реализующий прогрессивные тенденции развития образования, опирающийся на научные достижения, создающий нечто новое в содержании, средствах, способах педагогическ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процесса и в силу этого позволяющий достигать оптимально возможных в конкретных условиях и ситуациях результатов. Является  новой образовательной практикой, дающей устойчиво высокие результаты. </w:t>
            </w:r>
          </w:p>
          <w:p w:rsidR="00102918" w:rsidRDefault="00102918">
            <w:pPr>
              <w:spacing w:after="0" w:line="240" w:lineRule="auto"/>
            </w:pP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 Концепция изменений (способы, их преимущества перед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аналогами и новизна, ограничения,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трудоёмкость, риски)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развития РФ, реализации приоритетных направлений государственной политики РФ в сфере образования. 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 Результат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изменений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видео урока, в основе которого лежат новые информационные технологии раскрывает неограниченные возможности для повышения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мотивации обучающихся, а значит и качества знаний, обеспечивая интеллектуальное развитие каждого ребенка. Высокая эффективность применения видео урока обеспечивающая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хорошое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усвоение и понимание темы учащимися.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 Участие автора в педагогических конференц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иях,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профессиональных конкурсах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Краснодарский педагогический марафон. Диплом за участие в Дне учителя физики с докладом «Дистанционное обучение детей с ОВЗ» 18.04.2018 г.</w:t>
            </w:r>
          </w:p>
          <w:p w:rsidR="00102918" w:rsidRDefault="002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Ӏ Краснодарский педагогический марафон. Диплом  за участие в Дне учителя физики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классом по теме «Формы и методы преподавания физики в дистанционном режиме в условиях ФГОС  ООО»  25.04.2019 г.</w:t>
            </w:r>
          </w:p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призёра муниципального этапа всероссийской 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мпиады школьников по  физике Чертова Виктора. 09.11.2016 г. 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 Публикации автора по теме обобщаемого педагогического опыта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</w:rPr>
                <w:t>https://sites.google.com/site/najdaolga/</w:t>
              </w:r>
            </w:hyperlink>
          </w:p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school44@kubannet.ru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Педагогическое эссе. Описание инновационного опыта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 настоящее время все больше внимания уделяется вопросу внедрения современных информационных компьютерных технологий практически во все сферы деятельности человека. Сфера образования не могла стать  исключением. Именно сфера образования наряду с немногими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другими характеризуется огромным потенциалом и разнообразием направлений применения компьютерных технологий.</w:t>
            </w:r>
          </w:p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мультимедийных средств, интерактивной доски, документ камеры,   презентаций, позволяет повысить эффективность учебного процесса  и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чества обучения детей. Всё это помогают  привнести эффект дополнительной наглядности  в занятия, что способствует усвоению учащимися материала быстрее и в большем объеме. Чем разнообразнее будет представление информации, тем эффективнее будет процесс ее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воения.        </w:t>
            </w:r>
          </w:p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Опираясь на вышеизложенное, можно утверждать, что данная тема является актуальной в настоящее время.</w:t>
            </w:r>
          </w:p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технологии, оснащенные всеми необходимыми компонентами, в совокупности с правильно отобранными технологиями обучения,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зованием активных методов обучения становятся базой современного образования, гарантирующей необходимый уровень качества, вариативности, дифференциации   и   индивидуализации   обучения   и   воспитания.</w:t>
            </w:r>
          </w:p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ИКТ способствует повышению мотивации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но-познавательной деятельности школьников и развитию творческого потенциала обучающихся.</w:t>
            </w:r>
          </w:p>
          <w:p w:rsidR="00102918" w:rsidRDefault="002D3A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условиях дистанционного образования видео уроки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являются  новой образовательной практикой, дающей устойчиво высокие результаты обучения. В основе данного видео 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лежит презентация на тему «Наблюдение и регистрация элементарных частиц». В ходе урока были рассмотрены методы наблюдения и регистрации элементарных частиц, принцип действия приборов наблюдения, характеристики и преимущества различных методов регистрации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частиц. В презентации используются схемы приборов, фотографии их разработчиков. Учитель объясняет принцип действия и необходимость каждого устройства, это дает учащемуся возможность лучшего понимания назначение приборов. Данный педагогический опыт дает воз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можность усовершенствования преподавания физики и как никогда актуален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условиях дистанционного преподавания.</w:t>
            </w:r>
          </w:p>
          <w:p w:rsidR="00102918" w:rsidRDefault="002D3A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Использование видео урока в условиях дистанционного обучения позволяет активизировать процесс обучения, формирует учебную мотивацию,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повышает качество знаний учащихся, способствует повышению объёма выполняемой на уроке работы, рационализации  организации учебного процесса, повышению уровня комфортности обучения, повышению активности школьников на уроке.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IV. Экспертное заключение</w:t>
            </w:r>
          </w:p>
        </w:tc>
      </w:tr>
      <w:tr w:rsidR="00102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независимого эксперта, </w:t>
            </w:r>
          </w:p>
          <w:p w:rsidR="00102918" w:rsidRDefault="002D3A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его контактные телефоны, адрес электронной почты, наименование и почтовый адрес организации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102918" w:rsidRDefault="002D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условиях реализации ФГОС  основного общего образования, использование новых педагогических технологий как одного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 основных принципов обучения, особенно актуально.  Опыт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Ольги Кондратьевны основан на новых подходах к организации образовательного процесса, когда обучающийся становится субъектом обучения. Особенно актуален данный опыт в условиях дистанцио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нного образования, где проблемами являются низкий уровень мотивации самостоятельного изучения предмета, стимуляции развития обучающихся; низкий педагогический и психологический уровень образования родителей обучающихся. Данный опыт позволяет повысить мотив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учению. Видео урок «Наблюдение и регистрация элементарных частиц» доступно и наглядно объясняется принцип действия различных устройств наблюдения и регистрации различных устройств элементарных частиц. Данный видео урок способствует эффек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тивности проведения урока по данной теме в условиях дистанционного обучения. Данный опыт заслуживает внимания и может использоваться другими учителями.</w:t>
            </w:r>
          </w:p>
          <w:p w:rsidR="00102918" w:rsidRDefault="002D3A20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2918" w:rsidRDefault="001029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02918" w:rsidRDefault="001029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918"/>
    <w:rsid w:val="00102918"/>
    <w:rsid w:val="002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najdaolga/" TargetMode="External"/><Relationship Id="rId5" Type="http://schemas.openxmlformats.org/officeDocument/2006/relationships/hyperlink" Target="https://sites.google.com/site/najdaol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Старченко</cp:lastModifiedBy>
  <cp:revision>2</cp:revision>
  <dcterms:created xsi:type="dcterms:W3CDTF">2020-09-02T06:08:00Z</dcterms:created>
  <dcterms:modified xsi:type="dcterms:W3CDTF">2020-09-02T06:08:00Z</dcterms:modified>
</cp:coreProperties>
</file>